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2024-2029年中国地面数字电视行业市场深度调研及投资价值分析研究报告</w:t>
      </w:r>
    </w:p>
    <w:p>
      <w:pPr>
        <w:spacing w:after="150"/>
      </w:pPr>
      <w:r>
        <w:rPr>
          <w:b w:val="1"/>
          <w:bCs w:val="1"/>
        </w:rPr>
        <w:t xml:space="preserve">报告简介</w:t>
      </w:r>
    </w:p>
    <w:p>
      <w:pPr>
        <w:spacing w:after="150"/>
      </w:pPr>
      <w:r>
        <w:rPr/>
        <w:t xml:space="preserve">随着国内经济的发展，地面数字电视市场发展面临巨大机遇和挑战。在市场竞争方面，地面数字电视企业数量越来越多，市场正面临着供给与需求的不对称，地面数字电视行业有进一步洗牌的强烈要求，但是在一些地面数字电视细分市场仍有较大的发展空间，信息化技术将成为核心竞争力。本报告通过深入的调查、分析，投资者能够充分把握行业目前所处的全球和国内宏观经济形势，具体分析该产品所在的细分市场，对地面数字电视行业总体市场的供求趋势及行业前景做出判断;明确目标市场、分析竞争对手，了解产品定位，把握市场特征，发掘价格规律，创新营销手段，提出地面数字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面数字电视行业研究单位等公布和提供的大量资料以及对行业内企业调研访察所获得的大量第一手数据，对我国地面数字电视市场的发展状况、供需状况、竞争格局、赢利水平、发展趋势等进行了分析。报告重点分析了地面数字电视前十大企业的研发、产销、战略、经营状况等。报告还对地面数字电视市场风险进行了预测，为地面数字电视生产厂家、流通企业以及零售商提供了新的投资机会和可借鉴的操作模式，对欲在地面数字电视行业从事资本运作的经济实体等单位准确了解目前中国地面数字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地面数字电视行业基础概述</w:t>
      </w:r>
    </w:p>
    <w:p>
      <w:pPr>
        <w:spacing w:after="150"/>
      </w:pPr>
      <w:r>
        <w:rPr/>
        <w:t xml:space="preserve">第一节 地面数字电视概述</w:t>
      </w:r>
    </w:p>
    <w:p>
      <w:pPr>
        <w:spacing w:after="150"/>
      </w:pPr>
      <w:r>
        <w:rPr/>
        <w:t xml:space="preserve">一、地面数字电视大事记</w:t>
      </w:r>
    </w:p>
    <w:p>
      <w:pPr>
        <w:spacing w:after="150"/>
      </w:pPr>
      <w:r>
        <w:rPr/>
        <w:t xml:space="preserve">二、地面数字电视的优点</w:t>
      </w:r>
    </w:p>
    <w:p>
      <w:pPr>
        <w:spacing w:after="150"/>
      </w:pPr>
      <w:r>
        <w:rPr/>
        <w:t xml:space="preserve">第二节 地面数字电视接受需要的设备</w:t>
      </w:r>
    </w:p>
    <w:p>
      <w:pPr>
        <w:spacing w:after="150"/>
      </w:pPr>
      <w:r>
        <w:rPr/>
        <w:t xml:space="preserve">一、机顶盒</w:t>
      </w:r>
    </w:p>
    <w:p>
      <w:pPr>
        <w:spacing w:after="150"/>
      </w:pPr>
      <w:r>
        <w:rPr/>
        <w:t xml:space="preserve">二、标清机顶盒</w:t>
      </w:r>
    </w:p>
    <w:p>
      <w:pPr>
        <w:spacing w:after="150"/>
      </w:pPr>
      <w:r>
        <w:rPr/>
        <w:t xml:space="preserve">第三节 数字电视地面传输国标</w:t>
      </w:r>
    </w:p>
    <w:p>
      <w:pPr>
        <w:spacing w:after="150"/>
      </w:pPr>
      <w:r>
        <w:rPr/>
        <w:t xml:space="preserve">一、三套标准各自为战</w:t>
      </w:r>
    </w:p>
    <w:p>
      <w:pPr>
        <w:spacing w:after="150"/>
      </w:pPr>
      <w:r>
        <w:rPr/>
        <w:t xml:space="preserve">二、真正转换尚需过渡</w:t>
      </w:r>
    </w:p>
    <w:p>
      <w:pPr>
        <w:spacing w:after="150"/>
      </w:pPr>
      <w:r>
        <w:rPr/>
        <w:t xml:space="preserve">第四节 地面数字电视在中国数字电视产业中的位置</w:t>
      </w:r>
    </w:p>
    <w:p>
      <w:pPr>
        <w:spacing w:after="150"/>
      </w:pPr>
      <w:r>
        <w:rPr/>
        <w:t xml:space="preserve">第五节 中国地面数字电视的公益性定位</w:t>
      </w:r>
    </w:p>
    <w:p>
      <w:pPr>
        <w:spacing w:after="150"/>
      </w:pPr>
      <w:r>
        <w:rPr>
          <w:b w:val="1"/>
          <w:bCs w:val="1"/>
        </w:rPr>
        <w:t xml:space="preserve">第二章 2019-2023年中国地面数字电视行业市场发展环境分析（PEST分析法）</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2019-2023年中国地面数字电视行业政策环境分析</w:t>
      </w:r>
    </w:p>
    <w:p>
      <w:pPr>
        <w:spacing w:after="150"/>
      </w:pPr>
      <w:r>
        <w:rPr/>
        <w:t xml:space="preserve">一、国家政策</w:t>
      </w:r>
    </w:p>
    <w:p>
      <w:pPr>
        <w:spacing w:after="150"/>
      </w:pPr>
      <w:r>
        <w:rPr/>
        <w:t xml:space="preserve">二、广电总局</w:t>
      </w:r>
    </w:p>
    <w:p>
      <w:pPr>
        <w:spacing w:after="150"/>
      </w:pPr>
      <w:r>
        <w:rPr/>
        <w:t xml:space="preserve">三、地面数字电视标准亟待推广应用</w:t>
      </w:r>
    </w:p>
    <w:p>
      <w:pPr>
        <w:spacing w:after="150"/>
      </w:pPr>
      <w:r>
        <w:rPr/>
        <w:t xml:space="preserve">第三节 2019-2023年中国地面数字电视行业社会环境分析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2019-2023年中国地面数字电视行业技术环境分析</w:t>
      </w:r>
    </w:p>
    <w:p>
      <w:pPr>
        <w:spacing w:after="150"/>
      </w:pPr>
      <w:r>
        <w:rPr>
          <w:b w:val="1"/>
          <w:bCs w:val="1"/>
        </w:rPr>
        <w:t xml:space="preserve">第三章 2019-2023年中国地面数字电视行业运行形势综述</w:t>
      </w:r>
    </w:p>
    <w:p>
      <w:pPr>
        <w:spacing w:after="150"/>
      </w:pPr>
      <w:r>
        <w:rPr/>
        <w:t xml:space="preserve">第一节 2019-2023年中国地面数字电视发展背景</w:t>
      </w:r>
    </w:p>
    <w:p>
      <w:pPr>
        <w:spacing w:after="150"/>
      </w:pPr>
      <w:r>
        <w:rPr/>
        <w:t xml:space="preserve">一、农村广播电视覆盖状况</w:t>
      </w:r>
    </w:p>
    <w:p>
      <w:pPr>
        <w:spacing w:after="150"/>
      </w:pPr>
      <w:r>
        <w:rPr/>
        <w:t xml:space="preserve">二、地面电视发展历史</w:t>
      </w:r>
    </w:p>
    <w:p>
      <w:pPr>
        <w:spacing w:after="150"/>
      </w:pPr>
      <w:r>
        <w:rPr/>
        <w:t xml:space="preserve">三、地面数字电视DMB-TH发展设想</w:t>
      </w:r>
    </w:p>
    <w:p>
      <w:pPr>
        <w:spacing w:after="150"/>
      </w:pPr>
      <w:r>
        <w:rPr/>
        <w:t xml:space="preserve">第二节 2019-2023年中国地面数字电视技术与标准</w:t>
      </w:r>
    </w:p>
    <w:p>
      <w:pPr>
        <w:spacing w:after="150"/>
      </w:pPr>
      <w:r>
        <w:rPr/>
        <w:t xml:space="preserve">一、信道</w:t>
      </w:r>
    </w:p>
    <w:p>
      <w:pPr>
        <w:spacing w:after="150"/>
      </w:pPr>
      <w:r>
        <w:rPr/>
        <w:t xml:space="preserve">二、信源及音频编解码</w:t>
      </w:r>
    </w:p>
    <w:p>
      <w:pPr>
        <w:spacing w:after="150"/>
      </w:pPr>
      <w:r>
        <w:rPr/>
        <w:t xml:space="preserve">第三节 中国地面数字电视频谱规划及进展</w:t>
      </w:r>
    </w:p>
    <w:p>
      <w:pPr>
        <w:spacing w:after="150"/>
      </w:pPr>
      <w:r>
        <w:rPr/>
        <w:t xml:space="preserve">一、广播频段频谱规划</w:t>
      </w:r>
    </w:p>
    <w:p>
      <w:pPr>
        <w:spacing w:after="150"/>
      </w:pPr>
      <w:r>
        <w:rPr/>
        <w:t xml:space="preserve">二、地面数字电视频谱规划进展</w:t>
      </w:r>
    </w:p>
    <w:p>
      <w:pPr>
        <w:spacing w:after="150"/>
      </w:pPr>
      <w:r>
        <w:rPr>
          <w:b w:val="1"/>
          <w:bCs w:val="1"/>
        </w:rPr>
        <w:t xml:space="preserve">第四章 2019-2023年中国地面数字电视行业市场运行动态分析</w:t>
      </w:r>
    </w:p>
    <w:p>
      <w:pPr>
        <w:spacing w:after="150"/>
      </w:pPr>
      <w:r>
        <w:rPr/>
        <w:t xml:space="preserve">第一节 世界主要国家地面数字电视行业分析</w:t>
      </w:r>
    </w:p>
    <w:p>
      <w:pPr>
        <w:spacing w:after="150"/>
      </w:pPr>
      <w:r>
        <w:rPr/>
        <w:t xml:space="preserve">一、南非将采用欧洲地面数字电视标准</w:t>
      </w:r>
    </w:p>
    <w:p>
      <w:pPr>
        <w:spacing w:after="150"/>
      </w:pPr>
      <w:r>
        <w:rPr/>
        <w:t xml:space="preserve">二、德国地面数字电视开展HbbTV服务</w:t>
      </w:r>
    </w:p>
    <w:p>
      <w:pPr>
        <w:spacing w:after="150"/>
      </w:pPr>
      <w:r>
        <w:rPr/>
        <w:t xml:space="preserve">三、日本地面数字电视普及率</w:t>
      </w:r>
    </w:p>
    <w:p>
      <w:pPr>
        <w:spacing w:after="150"/>
      </w:pPr>
      <w:r>
        <w:rPr/>
        <w:t xml:space="preserve">四、柬埔寨采用中国地面数字电视传输标准DTMB</w:t>
      </w:r>
    </w:p>
    <w:p>
      <w:pPr>
        <w:spacing w:after="150"/>
      </w:pPr>
      <w:r>
        <w:rPr/>
        <w:t xml:space="preserve">第二节 中国地面数字电视行业市场走势分析</w:t>
      </w:r>
    </w:p>
    <w:p>
      <w:pPr>
        <w:spacing w:after="150"/>
      </w:pPr>
      <w:r>
        <w:rPr/>
        <w:t xml:space="preserve">一、松下助推中国地面数字电视产业发展</w:t>
      </w:r>
    </w:p>
    <w:p>
      <w:pPr>
        <w:spacing w:after="150"/>
      </w:pPr>
      <w:r>
        <w:rPr/>
        <w:t xml:space="preserve">二、地面数字电视产品检测发布会文字实录</w:t>
      </w:r>
    </w:p>
    <w:p>
      <w:pPr>
        <w:spacing w:after="150"/>
      </w:pPr>
      <w:r>
        <w:rPr/>
        <w:t xml:space="preserve">三、地面数字电视日渐成熟</w:t>
      </w:r>
    </w:p>
    <w:p>
      <w:pPr>
        <w:spacing w:after="150"/>
      </w:pPr>
      <w:r>
        <w:rPr/>
        <w:t xml:space="preserve">四、合江县积极推进地面无线数字电视覆盖工程</w:t>
      </w:r>
    </w:p>
    <w:p>
      <w:pPr>
        <w:spacing w:after="150"/>
      </w:pPr>
      <w:r>
        <w:rPr/>
        <w:t xml:space="preserve">五、攀枝花年底前开通地面数字电视</w:t>
      </w:r>
    </w:p>
    <w:p>
      <w:pPr>
        <w:spacing w:after="150"/>
      </w:pPr>
      <w:r>
        <w:rPr/>
        <w:t xml:space="preserve">第三节 2019-2023年中国地面数字电视行业发展存在问题分析</w:t>
      </w:r>
    </w:p>
    <w:p>
      <w:pPr>
        <w:spacing w:after="150"/>
      </w:pPr>
      <w:r>
        <w:rPr>
          <w:b w:val="1"/>
          <w:bCs w:val="1"/>
        </w:rPr>
        <w:t xml:space="preserve">第五章 2019-2023年中国地面固定电视运营发展态势剖析</w:t>
      </w:r>
    </w:p>
    <w:p>
      <w:pPr>
        <w:spacing w:after="150"/>
      </w:pPr>
      <w:r>
        <w:rPr/>
        <w:t xml:space="preserve">第一节 2019-2023年中国地面固定电视运营模式</w:t>
      </w:r>
    </w:p>
    <w:p>
      <w:pPr>
        <w:spacing w:after="150"/>
      </w:pPr>
      <w:r>
        <w:rPr/>
        <w:t xml:space="preserve">第二节 2019-2023年中国地面固定电视公益运营分析</w:t>
      </w:r>
    </w:p>
    <w:p>
      <w:pPr>
        <w:spacing w:after="150"/>
      </w:pPr>
      <w:r>
        <w:rPr/>
        <w:t xml:space="preserve">一、北京市</w:t>
      </w:r>
    </w:p>
    <w:p>
      <w:pPr>
        <w:spacing w:after="150"/>
      </w:pPr>
      <w:r>
        <w:rPr/>
        <w:t xml:space="preserve">二、广东省深圳市</w:t>
      </w:r>
    </w:p>
    <w:p>
      <w:pPr>
        <w:spacing w:after="150"/>
      </w:pPr>
      <w:r>
        <w:rPr/>
        <w:t xml:space="preserve">第三节 2019-2023年中国地面固定电视商业运营</w:t>
      </w:r>
    </w:p>
    <w:p>
      <w:pPr>
        <w:spacing w:after="150"/>
      </w:pPr>
      <w:r>
        <w:rPr/>
        <w:t xml:space="preserve">一、上海市</w:t>
      </w:r>
    </w:p>
    <w:p>
      <w:pPr>
        <w:spacing w:after="150"/>
      </w:pPr>
      <w:r>
        <w:rPr/>
        <w:t xml:space="preserve">二、河南省许昌市</w:t>
      </w:r>
    </w:p>
    <w:p>
      <w:pPr>
        <w:spacing w:after="150"/>
      </w:pPr>
      <w:r>
        <w:rPr/>
        <w:t xml:space="preserve">三、河南省新乡市</w:t>
      </w:r>
    </w:p>
    <w:p>
      <w:pPr>
        <w:spacing w:after="150"/>
      </w:pPr>
      <w:r>
        <w:rPr/>
        <w:t xml:space="preserve">四、河南省信阳市</w:t>
      </w:r>
    </w:p>
    <w:p>
      <w:pPr>
        <w:spacing w:after="150"/>
      </w:pPr>
      <w:r>
        <w:rPr/>
        <w:t xml:space="preserve">五、河南省开封市</w:t>
      </w:r>
    </w:p>
    <w:p>
      <w:pPr>
        <w:spacing w:after="150"/>
      </w:pPr>
      <w:r>
        <w:rPr/>
        <w:t xml:space="preserve">六、河南省商丘市</w:t>
      </w:r>
    </w:p>
    <w:p>
      <w:pPr>
        <w:spacing w:after="150"/>
      </w:pPr>
      <w:r>
        <w:rPr/>
        <w:t xml:space="preserve">七、河南省安阳市</w:t>
      </w:r>
    </w:p>
    <w:p>
      <w:pPr>
        <w:spacing w:after="150"/>
      </w:pPr>
      <w:r>
        <w:rPr/>
        <w:t xml:space="preserve">八、新疆自治区奇台县</w:t>
      </w:r>
    </w:p>
    <w:p>
      <w:pPr>
        <w:spacing w:after="150"/>
      </w:pPr>
      <w:r>
        <w:rPr/>
        <w:t xml:space="preserve">九、新疆自治区伊宁市</w:t>
      </w:r>
    </w:p>
    <w:p>
      <w:pPr>
        <w:spacing w:after="150"/>
      </w:pPr>
      <w:r>
        <w:rPr/>
        <w:t xml:space="preserve">十、 江西省南康市</w:t>
      </w:r>
    </w:p>
    <w:p>
      <w:pPr>
        <w:spacing w:after="150"/>
      </w:pPr>
      <w:r>
        <w:rPr/>
        <w:t xml:space="preserve">十一、湖北省荆门市</w:t>
      </w:r>
    </w:p>
    <w:p>
      <w:pPr>
        <w:spacing w:after="150"/>
      </w:pPr>
      <w:r>
        <w:rPr/>
        <w:t xml:space="preserve">十二、湖北省丹江口市</w:t>
      </w:r>
    </w:p>
    <w:p>
      <w:pPr>
        <w:spacing w:after="150"/>
      </w:pPr>
      <w:r>
        <w:rPr/>
        <w:t xml:space="preserve">十三、黑龙江省拜泉县和肇东市</w:t>
      </w:r>
    </w:p>
    <w:p>
      <w:pPr>
        <w:spacing w:after="150"/>
      </w:pPr>
      <w:r>
        <w:rPr/>
        <w:t xml:space="preserve">十四、湖南省浏阳市</w:t>
      </w:r>
    </w:p>
    <w:p>
      <w:pPr>
        <w:spacing w:after="150"/>
      </w:pPr>
      <w:r>
        <w:rPr/>
        <w:t xml:space="preserve">十五、安徽省凤阳县</w:t>
      </w:r>
    </w:p>
    <w:p>
      <w:pPr>
        <w:spacing w:after="150"/>
      </w:pPr>
      <w:r>
        <w:rPr/>
        <w:t xml:space="preserve">十六、广东省增城市</w:t>
      </w:r>
    </w:p>
    <w:p>
      <w:pPr>
        <w:spacing w:after="150"/>
      </w:pPr>
      <w:r>
        <w:rPr/>
        <w:t xml:space="preserve">十七、湖南省株洲市</w:t>
      </w:r>
    </w:p>
    <w:p>
      <w:pPr>
        <w:spacing w:after="150"/>
      </w:pPr>
      <w:r>
        <w:rPr/>
        <w:t xml:space="preserve">十八、云南省昆明市</w:t>
      </w:r>
    </w:p>
    <w:p>
      <w:pPr>
        <w:spacing w:after="150"/>
      </w:pPr>
      <w:r>
        <w:rPr/>
        <w:t xml:space="preserve">十九、浙江省杭州市</w:t>
      </w:r>
    </w:p>
    <w:p>
      <w:pPr>
        <w:spacing w:after="150"/>
      </w:pPr>
      <w:r>
        <w:rPr/>
        <w:t xml:space="preserve">二十、山西省太原市</w:t>
      </w:r>
    </w:p>
    <w:p>
      <w:pPr>
        <w:spacing w:after="150"/>
      </w:pPr>
      <w:r>
        <w:rPr>
          <w:b w:val="1"/>
          <w:bCs w:val="1"/>
        </w:rPr>
        <w:t xml:space="preserve">第六章 2019-2023年中国地面移动车载电视发展动态研究</w:t>
      </w:r>
    </w:p>
    <w:p>
      <w:pPr>
        <w:spacing w:after="150"/>
      </w:pPr>
      <w:r>
        <w:rPr/>
        <w:t xml:space="preserve">第一节 车载电视的商业模式</w:t>
      </w:r>
    </w:p>
    <w:p>
      <w:pPr>
        <w:spacing w:after="150"/>
      </w:pPr>
      <w:r>
        <w:rPr/>
        <w:t xml:space="preserve">第二节 车载电视的受众特征</w:t>
      </w:r>
    </w:p>
    <w:p>
      <w:pPr>
        <w:spacing w:after="150"/>
      </w:pPr>
      <w:r>
        <w:rPr/>
        <w:t xml:space="preserve">第三节 国标车载电视运营现状</w:t>
      </w:r>
    </w:p>
    <w:p>
      <w:pPr>
        <w:spacing w:after="150"/>
      </w:pPr>
      <w:r>
        <w:rPr/>
        <w:t xml:space="preserve">一、国标车载电视节目播出现状</w:t>
      </w:r>
    </w:p>
    <w:p>
      <w:pPr>
        <w:spacing w:after="150"/>
      </w:pPr>
      <w:r>
        <w:rPr/>
        <w:t xml:space="preserve">二、国标车载电视设备应用现状</w:t>
      </w:r>
    </w:p>
    <w:p>
      <w:pPr>
        <w:spacing w:after="150"/>
      </w:pPr>
      <w:r>
        <w:rPr/>
        <w:t xml:space="preserve">三、国标车载电视投资运营现状</w:t>
      </w:r>
    </w:p>
    <w:p>
      <w:pPr>
        <w:spacing w:after="150"/>
      </w:pPr>
      <w:r>
        <w:rPr/>
        <w:t xml:space="preserve">第四节 各地车载电视进展状况</w:t>
      </w:r>
    </w:p>
    <w:p>
      <w:pPr>
        <w:spacing w:after="150"/>
      </w:pPr>
      <w:r>
        <w:rPr/>
        <w:t xml:space="preserve">一、北京</w:t>
      </w:r>
    </w:p>
    <w:p>
      <w:pPr>
        <w:spacing w:after="150"/>
      </w:pPr>
      <w:r>
        <w:rPr/>
        <w:t xml:space="preserve">二、上海</w:t>
      </w:r>
    </w:p>
    <w:p>
      <w:pPr>
        <w:spacing w:after="150"/>
      </w:pPr>
      <w:r>
        <w:rPr/>
        <w:t xml:space="preserve">三、天津</w:t>
      </w:r>
    </w:p>
    <w:p>
      <w:pPr>
        <w:spacing w:after="150"/>
      </w:pPr>
      <w:r>
        <w:rPr/>
        <w:t xml:space="preserve">四、重庆</w:t>
      </w:r>
    </w:p>
    <w:p>
      <w:pPr>
        <w:spacing w:after="150"/>
      </w:pPr>
      <w:r>
        <w:rPr/>
        <w:t xml:space="preserve">五、深圳</w:t>
      </w:r>
    </w:p>
    <w:p>
      <w:pPr>
        <w:spacing w:after="150"/>
      </w:pPr>
      <w:r>
        <w:rPr/>
        <w:t xml:space="preserve">六、大连</w:t>
      </w:r>
    </w:p>
    <w:p>
      <w:pPr>
        <w:spacing w:after="150"/>
      </w:pPr>
      <w:r>
        <w:rPr/>
        <w:t xml:space="preserve">七、郑州</w:t>
      </w:r>
    </w:p>
    <w:p>
      <w:pPr>
        <w:spacing w:after="150"/>
      </w:pPr>
      <w:r>
        <w:rPr/>
        <w:t xml:space="preserve">八、济南</w:t>
      </w:r>
    </w:p>
    <w:p>
      <w:pPr>
        <w:spacing w:after="150"/>
      </w:pPr>
      <w:r>
        <w:rPr/>
        <w:t xml:space="preserve">九、青岛</w:t>
      </w:r>
    </w:p>
    <w:p>
      <w:pPr>
        <w:spacing w:after="150"/>
      </w:pPr>
      <w:r>
        <w:rPr/>
        <w:t xml:space="preserve">十、武汉</w:t>
      </w:r>
    </w:p>
    <w:p>
      <w:pPr>
        <w:spacing w:after="150"/>
      </w:pPr>
      <w:r>
        <w:rPr/>
        <w:t xml:space="preserve">十一、太原</w:t>
      </w:r>
    </w:p>
    <w:p>
      <w:pPr>
        <w:spacing w:after="150"/>
      </w:pPr>
      <w:r>
        <w:rPr/>
        <w:t xml:space="preserve">十二、南宁</w:t>
      </w:r>
    </w:p>
    <w:p>
      <w:pPr>
        <w:spacing w:after="150"/>
      </w:pPr>
      <w:r>
        <w:rPr/>
        <w:t xml:space="preserve">十三、广州</w:t>
      </w:r>
    </w:p>
    <w:p>
      <w:pPr>
        <w:spacing w:after="150"/>
      </w:pPr>
      <w:r>
        <w:rPr/>
        <w:t xml:space="preserve">十四、南昌</w:t>
      </w:r>
    </w:p>
    <w:p>
      <w:pPr>
        <w:spacing w:after="150"/>
      </w:pPr>
      <w:r>
        <w:rPr/>
        <w:t xml:space="preserve">十五、吉林</w:t>
      </w:r>
    </w:p>
    <w:p>
      <w:pPr>
        <w:spacing w:after="150"/>
      </w:pPr>
      <w:r>
        <w:rPr/>
        <w:t xml:space="preserve">十六、昆明</w:t>
      </w:r>
    </w:p>
    <w:p>
      <w:pPr>
        <w:spacing w:after="150"/>
      </w:pPr>
      <w:r>
        <w:rPr/>
        <w:t xml:space="preserve">十七、贵阳</w:t>
      </w:r>
    </w:p>
    <w:p>
      <w:pPr>
        <w:spacing w:after="150"/>
      </w:pPr>
      <w:r>
        <w:rPr/>
        <w:t xml:space="preserve">十八、西安</w:t>
      </w:r>
    </w:p>
    <w:p>
      <w:pPr>
        <w:spacing w:after="150"/>
      </w:pPr>
      <w:r>
        <w:rPr/>
        <w:t xml:space="preserve">十九、兰州</w:t>
      </w:r>
    </w:p>
    <w:p>
      <w:pPr>
        <w:spacing w:after="150"/>
      </w:pPr>
      <w:r>
        <w:rPr/>
        <w:t xml:space="preserve">二十、石家庄</w:t>
      </w:r>
    </w:p>
    <w:p>
      <w:pPr>
        <w:spacing w:after="150"/>
      </w:pPr>
      <w:r>
        <w:rPr/>
        <w:t xml:space="preserve">二十一、秦皇岛</w:t>
      </w:r>
    </w:p>
    <w:p>
      <w:pPr>
        <w:spacing w:after="150"/>
      </w:pPr>
      <w:r>
        <w:rPr/>
        <w:t xml:space="preserve">二十二、合肥</w:t>
      </w:r>
    </w:p>
    <w:p>
      <w:pPr>
        <w:spacing w:after="150"/>
      </w:pPr>
      <w:r>
        <w:rPr/>
        <w:t xml:space="preserve">二十三、长沙</w:t>
      </w:r>
    </w:p>
    <w:p>
      <w:pPr>
        <w:spacing w:after="150"/>
      </w:pPr>
      <w:r>
        <w:rPr/>
        <w:t xml:space="preserve">二十四、呼和浩特</w:t>
      </w:r>
    </w:p>
    <w:p>
      <w:pPr>
        <w:spacing w:after="150"/>
      </w:pPr>
      <w:r>
        <w:rPr/>
        <w:t xml:space="preserve">二十五、厦门</w:t>
      </w:r>
    </w:p>
    <w:p>
      <w:pPr>
        <w:spacing w:after="150"/>
      </w:pPr>
      <w:r>
        <w:rPr/>
        <w:t xml:space="preserve">二十六、成都</w:t>
      </w:r>
    </w:p>
    <w:p>
      <w:pPr>
        <w:spacing w:after="150"/>
      </w:pPr>
      <w:r>
        <w:rPr>
          <w:b w:val="1"/>
          <w:bCs w:val="1"/>
        </w:rPr>
        <w:t xml:space="preserve">第七章 2019-2023年地面数字电视产业链厂商分析</w:t>
      </w:r>
    </w:p>
    <w:p>
      <w:pPr>
        <w:spacing w:after="150"/>
      </w:pPr>
      <w:r>
        <w:rPr/>
        <w:t xml:space="preserve">第一节 信道解调芯片厂商</w:t>
      </w:r>
    </w:p>
    <w:p>
      <w:pPr>
        <w:spacing w:after="150"/>
      </w:pPr>
      <w:r>
        <w:rPr/>
        <w:t xml:space="preserve">一、上海高清</w:t>
      </w:r>
    </w:p>
    <w:p>
      <w:pPr>
        <w:spacing w:after="150"/>
      </w:pPr>
      <w:r>
        <w:rPr/>
        <w:t xml:space="preserve">二、凌讯科技</w:t>
      </w:r>
    </w:p>
    <w:p>
      <w:pPr>
        <w:spacing w:after="150"/>
      </w:pPr>
      <w:r>
        <w:rPr/>
        <w:t xml:space="preserve">三、泰鼎</w:t>
      </w:r>
    </w:p>
    <w:p>
      <w:pPr>
        <w:spacing w:after="150"/>
      </w:pPr>
      <w:r>
        <w:rPr/>
        <w:t xml:space="preserve">四、杭州国芯</w:t>
      </w:r>
    </w:p>
    <w:p>
      <w:pPr>
        <w:spacing w:after="150"/>
      </w:pPr>
      <w:r>
        <w:rPr/>
        <w:t xml:space="preserve">五、中天联科</w:t>
      </w:r>
    </w:p>
    <w:p>
      <w:pPr>
        <w:spacing w:after="150"/>
      </w:pPr>
      <w:r>
        <w:rPr/>
        <w:t xml:space="preserve">第二节 数字电视一体机市场</w:t>
      </w:r>
    </w:p>
    <w:p>
      <w:pPr>
        <w:spacing w:after="150"/>
      </w:pPr>
      <w:r>
        <w:rPr/>
        <w:t xml:space="preserve">第三节 数字电视机顶盒</w:t>
      </w:r>
    </w:p>
    <w:p>
      <w:pPr>
        <w:spacing w:after="150"/>
      </w:pPr>
      <w:r>
        <w:rPr/>
        <w:t xml:space="preserve">一、兆驰</w:t>
      </w:r>
    </w:p>
    <w:p>
      <w:pPr>
        <w:spacing w:after="150"/>
      </w:pPr>
      <w:r>
        <w:rPr/>
        <w:t xml:space="preserve">二、迈高</w:t>
      </w:r>
    </w:p>
    <w:p>
      <w:pPr>
        <w:spacing w:after="150"/>
      </w:pPr>
      <w:r>
        <w:rPr/>
        <w:t xml:space="preserve">三、创维</w:t>
      </w:r>
    </w:p>
    <w:p>
      <w:pPr>
        <w:spacing w:after="150"/>
      </w:pPr>
      <w:r>
        <w:rPr/>
        <w:t xml:space="preserve">四、九洲</w:t>
      </w:r>
    </w:p>
    <w:p>
      <w:pPr>
        <w:spacing w:after="150"/>
      </w:pPr>
      <w:r>
        <w:rPr/>
        <w:t xml:space="preserve">五、E-TEK</w:t>
      </w:r>
    </w:p>
    <w:p>
      <w:pPr>
        <w:spacing w:after="150"/>
      </w:pPr>
      <w:r>
        <w:rPr/>
        <w:t xml:space="preserve">六、金网通</w:t>
      </w:r>
    </w:p>
    <w:p>
      <w:pPr>
        <w:spacing w:after="150"/>
      </w:pPr>
      <w:r>
        <w:rPr/>
        <w:t xml:space="preserve">七、同洲电子</w:t>
      </w:r>
    </w:p>
    <w:p>
      <w:pPr>
        <w:spacing w:after="150"/>
      </w:pPr>
      <w:r>
        <w:rPr/>
        <w:t xml:space="preserve">八、银河</w:t>
      </w:r>
    </w:p>
    <w:p>
      <w:pPr>
        <w:spacing w:after="150"/>
      </w:pPr>
      <w:r>
        <w:rPr/>
        <w:t xml:space="preserve">第四节 投资厂商</w:t>
      </w:r>
    </w:p>
    <w:p>
      <w:pPr>
        <w:spacing w:after="150"/>
      </w:pPr>
      <w:r>
        <w:rPr>
          <w:b w:val="1"/>
          <w:bCs w:val="1"/>
        </w:rPr>
        <w:t xml:space="preserve">第八章 2024-2029年中国地面数字电视发展趋势分析</w:t>
      </w:r>
    </w:p>
    <w:p>
      <w:pPr>
        <w:spacing w:after="150"/>
      </w:pPr>
      <w:r>
        <w:rPr/>
        <w:t xml:space="preserve">第一节 2024-2029年中国地面数字电视固定接收</w:t>
      </w:r>
    </w:p>
    <w:p>
      <w:pPr>
        <w:spacing w:after="150"/>
      </w:pPr>
      <w:r>
        <w:rPr/>
        <w:t xml:space="preserve">一、市场发展的主要影响因素</w:t>
      </w:r>
    </w:p>
    <w:p>
      <w:pPr>
        <w:spacing w:after="150"/>
      </w:pPr>
      <w:r>
        <w:rPr/>
        <w:t xml:space="preserve">二、地面机顶盒市场发展预测</w:t>
      </w:r>
    </w:p>
    <w:p>
      <w:pPr>
        <w:spacing w:after="150"/>
      </w:pPr>
      <w:r>
        <w:rPr/>
        <w:t xml:space="preserve">三、地面一体机发展前景</w:t>
      </w:r>
    </w:p>
    <w:p>
      <w:pPr>
        <w:spacing w:after="150"/>
      </w:pPr>
      <w:r>
        <w:rPr/>
        <w:t xml:space="preserve">四、市场投资机会和风险分析</w:t>
      </w:r>
    </w:p>
    <w:p>
      <w:pPr>
        <w:spacing w:after="150"/>
      </w:pPr>
      <w:r>
        <w:rPr/>
        <w:t xml:space="preserve">第二节 2024-2029年中国地面数字电视移动接收</w:t>
      </w:r>
    </w:p>
    <w:p>
      <w:pPr>
        <w:spacing w:after="150"/>
      </w:pPr>
      <w:r>
        <w:rPr/>
        <w:t xml:space="preserve">一、公交车载电视发展前景</w:t>
      </w:r>
    </w:p>
    <w:p>
      <w:pPr>
        <w:spacing w:after="150"/>
      </w:pPr>
      <w:r>
        <w:rPr/>
        <w:t xml:space="preserve">二、私家车载电视发展前景</w:t>
      </w:r>
    </w:p>
    <w:p>
      <w:pPr>
        <w:spacing w:after="150"/>
      </w:pPr>
      <w:r>
        <w:rPr/>
        <w:t xml:space="preserve">三、列车车载电视发展前景</w:t>
      </w:r>
    </w:p>
    <w:p>
      <w:pPr>
        <w:spacing w:after="150"/>
      </w:pPr>
      <w:r>
        <w:rPr/>
        <w:t xml:space="preserve">四、地铁车载电视发展前景</w:t>
      </w:r>
    </w:p>
    <w:p>
      <w:pPr>
        <w:spacing w:after="150"/>
      </w:pPr>
      <w:r>
        <w:rPr>
          <w:b w:val="1"/>
          <w:bCs w:val="1"/>
        </w:rPr>
        <w:t xml:space="preserve">图表目录：</w:t>
      </w:r>
    </w:p>
    <w:p>
      <w:pPr>
        <w:spacing w:after="150"/>
      </w:pPr>
      <w:r>
        <w:rPr/>
        <w:t xml:space="preserve">图表1 2019-2023年我国国内生产总值及其增长速度</w:t>
      </w:r>
    </w:p>
    <w:p>
      <w:pPr>
        <w:spacing w:after="150"/>
      </w:pPr>
      <w:r>
        <w:rPr/>
        <w:t xml:space="preserve">图表2 全国居民消费价格涨跌幅</w:t>
      </w:r>
    </w:p>
    <w:p>
      <w:pPr>
        <w:spacing w:after="150"/>
      </w:pPr>
      <w:r>
        <w:rPr/>
        <w:t xml:space="preserve">图表3 5月份居民消费价格分类别同比涨跌幅</w:t>
      </w:r>
    </w:p>
    <w:p>
      <w:pPr>
        <w:spacing w:after="150"/>
      </w:pPr>
      <w:r>
        <w:rPr/>
        <w:t xml:space="preserve">图表4 5月份居民消费价格分类别环比涨跌幅</w:t>
      </w:r>
    </w:p>
    <w:p>
      <w:pPr>
        <w:spacing w:after="150"/>
      </w:pPr>
      <w:r>
        <w:rPr/>
        <w:t xml:space="preserve">图表5 2019-2023年居民消费价格主要数据</w:t>
      </w:r>
    </w:p>
    <w:p>
      <w:pPr>
        <w:spacing w:after="150"/>
      </w:pPr>
      <w:r>
        <w:rPr/>
        <w:t xml:space="preserve">图表6 工业生产者出厂价格涨跌幅</w:t>
      </w:r>
    </w:p>
    <w:p>
      <w:pPr>
        <w:spacing w:after="150"/>
      </w:pPr>
      <w:r>
        <w:rPr/>
        <w:t xml:space="preserve">图表7 工业生产者购进价格涨跌幅</w:t>
      </w:r>
    </w:p>
    <w:p>
      <w:pPr>
        <w:spacing w:after="150"/>
      </w:pPr>
      <w:r>
        <w:rPr/>
        <w:t xml:space="preserve">图表8 2019-2023年工业生产者价格主要数据</w:t>
      </w:r>
    </w:p>
    <w:p>
      <w:pPr>
        <w:spacing w:after="150"/>
      </w:pPr>
      <w:r>
        <w:rPr/>
        <w:t xml:space="preserve">图表9 2019-2023年城乡居民人均收入平均数与中位数比较情况(元)</w:t>
      </w:r>
    </w:p>
    <w:p>
      <w:pPr>
        <w:spacing w:after="150"/>
      </w:pPr>
      <w:r>
        <w:rPr/>
        <w:t xml:space="preserve">图表10 2019-2023年农村居民人均纯收入构成</w:t>
      </w:r>
    </w:p>
    <w:p>
      <w:pPr>
        <w:spacing w:after="150"/>
      </w:pPr>
      <w:r>
        <w:rPr/>
        <w:t xml:space="preserve">图表11 2019-2023年城镇居民人均总收入构成</w:t>
      </w:r>
    </w:p>
    <w:p>
      <w:pPr>
        <w:spacing w:after="150"/>
      </w:pPr>
      <w:r>
        <w:rPr/>
        <w:t xml:space="preserve">图表12 历年城乡居民人均收入及人均国内生产总值实际增长率</w:t>
      </w:r>
    </w:p>
    <w:p>
      <w:pPr>
        <w:spacing w:after="150"/>
      </w:pPr>
      <w:r>
        <w:rPr/>
        <w:t xml:space="preserve">图表13 历年城乡居民收入差距</w:t>
      </w:r>
    </w:p>
    <w:p>
      <w:pPr>
        <w:spacing w:after="150"/>
      </w:pPr>
      <w:r>
        <w:rPr/>
        <w:t xml:space="preserve">图表14 2019-2023年我国农村居民人均纯收入及其增长速度</w:t>
      </w:r>
    </w:p>
    <w:p>
      <w:pPr>
        <w:spacing w:after="150"/>
      </w:pPr>
      <w:r>
        <w:rPr/>
        <w:t xml:space="preserve">图表15 2019-2023年我国城镇居民人均可支配收入及其增长速度</w:t>
      </w:r>
    </w:p>
    <w:p>
      <w:pPr>
        <w:spacing w:after="150"/>
      </w:pPr>
      <w:r>
        <w:rPr/>
        <w:t xml:space="preserve">图表16 2019-2023年中国城乡居民恩格尔系数对比表</w:t>
      </w:r>
    </w:p>
    <w:p>
      <w:pPr>
        <w:spacing w:after="150"/>
      </w:pPr>
      <w:r>
        <w:rPr/>
        <w:t xml:space="preserve">图表17 2019-2023年分月主营业务收入与利润总额增长速度</w:t>
      </w:r>
    </w:p>
    <w:p>
      <w:pPr>
        <w:spacing w:after="150"/>
      </w:pPr>
      <w:r>
        <w:rPr/>
        <w:t xml:space="preserve">图表18 2019-2023年分月每百元主营业务收入中的成本与主营业务收入利润率</w:t>
      </w:r>
    </w:p>
    <w:p>
      <w:pPr>
        <w:spacing w:after="150"/>
      </w:pPr>
      <w:r>
        <w:rPr/>
        <w:t xml:space="preserve">图表19 全国规模以上工业增加值同比增长速度</w:t>
      </w:r>
    </w:p>
    <w:p>
      <w:pPr>
        <w:spacing w:after="150"/>
      </w:pPr>
      <w:r>
        <w:rPr/>
        <w:t xml:space="preserve">图表20 2019-2023年规模以上工业生产主要数据</w:t>
      </w:r>
    </w:p>
    <w:p>
      <w:pPr>
        <w:spacing w:after="150"/>
      </w:pPr>
      <w:r>
        <w:rPr/>
        <w:t xml:space="preserve">图表21 2019-2023年我国发电量日均产量及同比增速</w:t>
      </w:r>
    </w:p>
    <w:p>
      <w:pPr>
        <w:spacing w:after="150"/>
      </w:pPr>
      <w:r>
        <w:rPr/>
        <w:t xml:space="preserve">图表22 2019-2023年我国钢材日均产量及同比增速</w:t>
      </w:r>
    </w:p>
    <w:p>
      <w:pPr>
        <w:spacing w:after="150"/>
      </w:pPr>
      <w:r>
        <w:rPr/>
        <w:t xml:space="preserve">图表23 2019-2023年我国水泥日均产量及同比增速</w:t>
      </w:r>
    </w:p>
    <w:p>
      <w:pPr>
        <w:spacing w:after="150"/>
      </w:pPr>
      <w:r>
        <w:rPr/>
        <w:t xml:space="preserve">图表24 2019-2023年我国原油加工量日均产量及同比增速</w:t>
      </w:r>
    </w:p>
    <w:p>
      <w:pPr>
        <w:spacing w:after="150"/>
      </w:pPr>
      <w:r>
        <w:rPr/>
        <w:t xml:space="preserve">图表25 2019-2023年我国十种有色金属日均产量及同比增速</w:t>
      </w:r>
    </w:p>
    <w:p>
      <w:pPr>
        <w:spacing w:after="150"/>
      </w:pPr>
      <w:r>
        <w:rPr/>
        <w:t xml:space="preserve">图表26 2019-2023年我国乙烯日均产量及同比增速</w:t>
      </w:r>
    </w:p>
    <w:p>
      <w:pPr>
        <w:spacing w:after="150"/>
      </w:pPr>
      <w:r>
        <w:rPr/>
        <w:t xml:space="preserve">图表27 2019-2023年我国汽车日均产量及同比增速</w:t>
      </w:r>
    </w:p>
    <w:p>
      <w:pPr>
        <w:spacing w:after="150"/>
      </w:pPr>
      <w:r>
        <w:rPr/>
        <w:t xml:space="preserve">图表28 2019-2023年我国轿车日均产量及同比增速</w:t>
      </w:r>
    </w:p>
    <w:p>
      <w:pPr>
        <w:spacing w:after="150"/>
      </w:pPr>
      <w:r>
        <w:rPr/>
        <w:t xml:space="preserve">图表29 2019-2023年我国全社会固定资产投资及其增长速度</w:t>
      </w:r>
    </w:p>
    <w:p>
      <w:pPr>
        <w:spacing w:after="150"/>
      </w:pPr>
      <w:r>
        <w:rPr/>
        <w:t xml:space="preserve">图表30 全国固定资产投资(不含农户)同比增速</w:t>
      </w:r>
    </w:p>
    <w:p>
      <w:pPr>
        <w:spacing w:after="150"/>
      </w:pPr>
      <w:r>
        <w:rPr/>
        <w:t xml:space="preserve">图表31 2019-2023年我国分地区投资相邻两月累计同比增速</w:t>
      </w:r>
    </w:p>
    <w:p>
      <w:pPr>
        <w:spacing w:after="150"/>
      </w:pPr>
      <w:r>
        <w:rPr/>
        <w:t xml:space="preserve">图表32 2019-2023年我国固定资产投资到位资金同比增速</w:t>
      </w:r>
    </w:p>
    <w:p>
      <w:pPr>
        <w:spacing w:after="150"/>
      </w:pPr>
      <w:r>
        <w:rPr/>
        <w:t xml:space="preserve">图表33 2019-2023年固定资产投资(不含农户)主要数据</w:t>
      </w:r>
    </w:p>
    <w:p>
      <w:pPr>
        <w:spacing w:after="150"/>
      </w:pPr>
      <w:r>
        <w:rPr/>
        <w:t xml:space="preserve">图表34 2019-2023年我国全社会固定资产及其增长速度</w:t>
      </w:r>
    </w:p>
    <w:p>
      <w:pPr>
        <w:spacing w:after="150"/>
      </w:pPr>
      <w:r>
        <w:rPr/>
        <w:t xml:space="preserve">图表35 2019-2023年我国人口及其自然增长率变化趋势</w:t>
      </w:r>
    </w:p>
    <w:p>
      <w:pPr>
        <w:spacing w:after="150"/>
      </w:pPr>
      <w:r>
        <w:rPr/>
        <w:t xml:space="preserve">图表36 2019-2023年我国出口人口性别比变化情况</w:t>
      </w:r>
    </w:p>
    <w:p>
      <w:pPr>
        <w:spacing w:after="150"/>
      </w:pPr>
      <w:r>
        <w:rPr/>
        <w:t xml:space="preserve">图表37 2019-2023年末各年龄段人口比重</w:t>
      </w:r>
    </w:p>
    <w:p>
      <w:pPr>
        <w:spacing w:after="150"/>
      </w:pPr>
      <w:r>
        <w:rPr/>
        <w:t xml:space="preserve">图表38 2019-2023年我国各年龄段人口比重变化情况</w:t>
      </w:r>
    </w:p>
    <w:p>
      <w:pPr>
        <w:spacing w:after="150"/>
      </w:pPr>
      <w:r>
        <w:rPr/>
        <w:t xml:space="preserve">图表39 2019-2023年普通高等教育、中等职业教育及普通高中招生人数</w:t>
      </w:r>
    </w:p>
    <w:p>
      <w:pPr>
        <w:spacing w:after="150"/>
      </w:pPr>
      <w:r>
        <w:rPr/>
        <w:t xml:space="preserve">图表40 信道结构</w:t>
      </w:r>
    </w:p>
    <w:p>
      <w:pPr>
        <w:spacing w:after="150"/>
      </w:pPr>
      <w:r>
        <w:rPr/>
        <w:t xml:space="preserve">图表41 无线信道</w:t>
      </w:r>
    </w:p>
    <w:p>
      <w:pPr>
        <w:spacing w:after="150"/>
      </w:pPr>
      <w:r>
        <w:rPr/>
        <w:t xml:space="preserve">图表42 CDMA信道</w:t>
      </w:r>
    </w:p>
    <w:p>
      <w:pPr>
        <w:spacing w:after="150"/>
      </w:pPr>
      <w:r>
        <w:rPr/>
        <w:t xml:space="preserve">图表43 信道容量</w:t>
      </w:r>
    </w:p>
    <w:p>
      <w:pPr>
        <w:spacing w:after="150"/>
      </w:pPr>
      <w:r>
        <w:rPr/>
        <w:t xml:space="preserve">图表44 信道带宽</w:t>
      </w:r>
    </w:p>
    <w:p>
      <w:pPr>
        <w:spacing w:after="150"/>
      </w:pPr>
      <w:r>
        <w:rPr/>
        <w:t xml:space="preserve">图表45 信道理论</w:t>
      </w:r>
    </w:p>
    <w:p>
      <w:pPr>
        <w:spacing w:after="150"/>
      </w:pPr>
      <w:r>
        <w:rPr/>
        <w:t xml:space="preserve">图表46 2024-2029年国标数字电视发射机及转发器市场需求预测</w:t>
      </w:r>
    </w:p>
    <w:p>
      <w:pPr>
        <w:spacing w:after="150"/>
      </w:pPr>
      <w:r>
        <w:rPr/>
        <w:t xml:space="preserve">图表47 2019-2023年中国车载视听系统终端的累计数量统计 单位：万台</w:t>
      </w:r>
    </w:p>
    <w:p>
      <w:pPr>
        <w:spacing w:after="150"/>
      </w:pPr>
      <w:r>
        <w:rPr/>
        <w:t xml:space="preserve">图表48 2019-2023年中国移动电视市场销量预测图</w:t>
      </w:r>
    </w:p>
    <w:p>
      <w:pPr>
        <w:spacing w:after="150"/>
      </w:pPr>
      <w:r>
        <w:rPr/>
        <w:t xml:space="preserve">图表49 过去半年内人们对车载移动电视的接触频次</w:t>
      </w:r>
    </w:p>
    <w:p>
      <w:pPr>
        <w:spacing w:after="150"/>
      </w:pPr>
      <w:r>
        <w:rPr/>
        <w:t xml:space="preserve">图表50 过去半年内车载移动电视不同接触频次人群的对应分析</w:t>
      </w:r>
    </w:p>
    <w:p>
      <w:pPr>
        <w:spacing w:after="150"/>
      </w:pPr>
      <w:r>
        <w:rPr/>
        <w:t xml:space="preserve">图表51 过去一周内人们对公交和地铁移动电视的接触情况</w:t>
      </w:r>
    </w:p>
    <w:p>
      <w:pPr>
        <w:spacing w:after="150"/>
      </w:pPr>
      <w:r>
        <w:rPr/>
        <w:t xml:space="preserve">图表52 过去一周内人们对公交和地铁移动电视的接触时间</w:t>
      </w:r>
    </w:p>
    <w:p>
      <w:pPr>
        <w:spacing w:after="150"/>
      </w:pPr>
      <w:r>
        <w:rPr/>
        <w:t xml:space="preserve">图表53 重庆安装车载移动电视公交车的乘客规模</w:t>
      </w:r>
    </w:p>
    <w:p>
      <w:pPr>
        <w:spacing w:after="150"/>
      </w:pPr>
      <w:r>
        <w:rPr/>
        <w:t xml:space="preserve">图表54 重庆车载移动电视媒体到达率</w:t>
      </w:r>
    </w:p>
    <w:p>
      <w:pPr>
        <w:spacing w:after="150"/>
      </w:pPr>
      <w:r>
        <w:rPr/>
        <w:t xml:space="preserve">图表55 近4年上海高清数字科技产业有限公司流动资产周转次数变化情况</w:t>
      </w:r>
    </w:p>
    <w:p>
      <w:pPr>
        <w:spacing w:after="150"/>
      </w:pPr>
      <w:r>
        <w:rPr/>
        <w:t xml:space="preserve">图表56 近4年上海高清数字科技产业有限公司流动资产周转次数变化情况</w:t>
      </w:r>
    </w:p>
    <w:p>
      <w:pPr>
        <w:spacing w:after="150"/>
      </w:pPr>
      <w:r>
        <w:rPr/>
        <w:t xml:space="preserve">图表57 近4年上海高清数字科技产业有限公司产权比率变化情况</w:t>
      </w:r>
    </w:p>
    <w:p>
      <w:pPr>
        <w:spacing w:after="150"/>
      </w:pPr>
      <w:r>
        <w:rPr/>
        <w:t xml:space="preserve">图表58 近4年上海高清数字科技产业有限公司产权比率变化情况</w:t>
      </w:r>
    </w:p>
    <w:p>
      <w:pPr>
        <w:spacing w:after="150"/>
      </w:pPr>
      <w:r>
        <w:rPr/>
        <w:t xml:space="preserve">图表59 近4年上海高清数字科技产业有限公司销售毛利率变化情况</w:t>
      </w:r>
    </w:p>
    <w:p>
      <w:pPr>
        <w:spacing w:after="150"/>
      </w:pPr>
      <w:r>
        <w:rPr/>
        <w:t xml:space="preserve">图表60 近4年上海高清数字科技产业有限公司销售毛利率变化情况</w:t>
      </w:r>
    </w:p>
    <w:p>
      <w:pPr>
        <w:spacing w:after="150"/>
      </w:pPr>
      <w:r>
        <w:rPr/>
        <w:t xml:space="preserve">图表61 近4年上海高清数字科技产业有限公司资产负债率变化情况</w:t>
      </w:r>
    </w:p>
    <w:p>
      <w:pPr>
        <w:spacing w:after="150"/>
      </w:pPr>
      <w:r>
        <w:rPr/>
        <w:t xml:space="preserve">图表62 近4年上海高清数字科技产业有限公司资产负债率变化情况</w:t>
      </w:r>
    </w:p>
    <w:p>
      <w:pPr>
        <w:spacing w:after="150"/>
      </w:pPr>
      <w:r>
        <w:rPr/>
        <w:t xml:space="preserve">图表63 近4年上海高清数字科技产业有限公司总资产周转次数变化情况</w:t>
      </w:r>
    </w:p>
    <w:p>
      <w:pPr>
        <w:spacing w:after="150"/>
      </w:pPr>
      <w:r>
        <w:rPr/>
        <w:t xml:space="preserve">图表64 近4年上海高清数字科技产业有限公司总资产周转次数变化情况</w:t>
      </w:r>
    </w:p>
    <w:p>
      <w:pPr>
        <w:spacing w:after="150"/>
      </w:pPr>
      <w:r>
        <w:rPr/>
        <w:t xml:space="preserve">图表65 近4年上海高清数字科技产业有限公司固定资产周转次数情况</w:t>
      </w:r>
    </w:p>
    <w:p>
      <w:pPr>
        <w:spacing w:after="150"/>
      </w:pPr>
      <w:r>
        <w:rPr/>
        <w:t xml:space="preserve">图表66 近4年上海高清数字科技产业有限公司固定资产周转次数变化情况</w:t>
      </w:r>
    </w:p>
    <w:p>
      <w:pPr>
        <w:spacing w:after="150"/>
      </w:pPr>
      <w:r>
        <w:rPr/>
        <w:t xml:space="preserve">图表67 近4年北京凌讯华业科技有限公司流动资产周转次数变化情况</w:t>
      </w:r>
    </w:p>
    <w:p>
      <w:pPr>
        <w:spacing w:after="150"/>
      </w:pPr>
      <w:r>
        <w:rPr/>
        <w:t xml:space="preserve">图表68 近4年北京凌讯华业科技有限公司流动资产周转次数变化情况</w:t>
      </w:r>
    </w:p>
    <w:p>
      <w:pPr>
        <w:spacing w:after="150"/>
      </w:pPr>
      <w:r>
        <w:rPr/>
        <w:t xml:space="preserve">图表69 近4年北京凌讯华业科技有限公司产权比率变化情况</w:t>
      </w:r>
    </w:p>
    <w:p>
      <w:pPr>
        <w:spacing w:after="150"/>
      </w:pPr>
      <w:r>
        <w:rPr/>
        <w:t xml:space="preserve">图表70 近4年北京凌讯华业科技有限公司产权比率变化情况</w:t>
      </w:r>
    </w:p>
    <w:p>
      <w:pPr>
        <w:spacing w:after="150"/>
      </w:pPr>
      <w:r>
        <w:rPr/>
        <w:t xml:space="preserve">图表71 近4年北京凌讯华业科技有限公司销售毛利率变化情况</w:t>
      </w:r>
    </w:p>
    <w:p>
      <w:pPr>
        <w:spacing w:after="150"/>
      </w:pPr>
      <w:r>
        <w:rPr/>
        <w:t xml:space="preserve">图表72 近4年北京凌讯华业科技有限公司销售毛利率变化情况</w:t>
      </w:r>
    </w:p>
    <w:p>
      <w:pPr>
        <w:spacing w:after="150"/>
      </w:pPr>
      <w:r>
        <w:rPr/>
        <w:t xml:space="preserve">图表73 近4年北京凌讯华业科技有限公司资产负债率变化情况</w:t>
      </w:r>
    </w:p>
    <w:p>
      <w:pPr>
        <w:spacing w:after="150"/>
      </w:pPr>
      <w:r>
        <w:rPr/>
        <w:t xml:space="preserve">图表74 近4年北京凌讯华业科技有限公司资产负债率变化情况</w:t>
      </w:r>
    </w:p>
    <w:p>
      <w:pPr>
        <w:spacing w:after="150"/>
      </w:pPr>
      <w:r>
        <w:rPr/>
        <w:t xml:space="preserve">图表75 近4年北京凌讯华业科技有限公司总资产周转次数变化情况</w:t>
      </w:r>
    </w:p>
    <w:p>
      <w:pPr>
        <w:spacing w:after="150"/>
      </w:pPr>
      <w:r>
        <w:rPr/>
        <w:t xml:space="preserve">图表76 近4年北京凌讯华业科技有限公司总资产周转次数变化情况</w:t>
      </w:r>
    </w:p>
    <w:p>
      <w:pPr>
        <w:spacing w:after="150"/>
      </w:pPr>
      <w:r>
        <w:rPr/>
        <w:t xml:space="preserve">图表77 近4年北京凌讯华业科技有限公司固定资产周转次数情况</w:t>
      </w:r>
    </w:p>
    <w:p>
      <w:pPr>
        <w:spacing w:after="150"/>
      </w:pPr>
      <w:r>
        <w:rPr/>
        <w:t xml:space="preserve">图表78 近4年北京凌讯华业科技有限公司固定资产周转次数情况</w:t>
      </w:r>
    </w:p>
    <w:p>
      <w:pPr>
        <w:spacing w:after="150"/>
      </w:pPr>
      <w:r>
        <w:rPr/>
        <w:t xml:space="preserve">图表79 近4年泰鼎流动资产周转次数变化情况</w:t>
      </w:r>
    </w:p>
    <w:p>
      <w:pPr>
        <w:spacing w:after="150"/>
      </w:pPr>
      <w:r>
        <w:rPr/>
        <w:t xml:space="preserve">图表80 近4年泰鼎流动资产周转次数变化情况</w:t>
      </w:r>
    </w:p>
    <w:p>
      <w:pPr>
        <w:spacing w:after="150"/>
      </w:pPr>
      <w:r>
        <w:rPr/>
        <w:t xml:space="preserve">图表81 近4年泰鼎产权比率变化情况</w:t>
      </w:r>
    </w:p>
    <w:p>
      <w:pPr>
        <w:spacing w:after="150"/>
      </w:pPr>
      <w:r>
        <w:rPr/>
        <w:t xml:space="preserve">图表82 近4年泰鼎产权比率变化情况</w:t>
      </w:r>
    </w:p>
    <w:p>
      <w:pPr>
        <w:spacing w:after="150"/>
      </w:pPr>
      <w:r>
        <w:rPr/>
        <w:t xml:space="preserve">图表83 近4年泰鼎销售毛利率变化情况</w:t>
      </w:r>
    </w:p>
    <w:p>
      <w:pPr>
        <w:spacing w:after="150"/>
      </w:pPr>
      <w:r>
        <w:rPr/>
        <w:t xml:space="preserve">图表84 近4年泰鼎销售毛利率变化情况</w:t>
      </w:r>
    </w:p>
    <w:p>
      <w:pPr>
        <w:spacing w:after="150"/>
      </w:pPr>
      <w:r>
        <w:rPr/>
        <w:t xml:space="preserve">图表85 近4年泰鼎资产负债率变化情况</w:t>
      </w:r>
    </w:p>
    <w:p>
      <w:pPr>
        <w:spacing w:after="150"/>
      </w:pPr>
      <w:r>
        <w:rPr/>
        <w:t xml:space="preserve">图表86 近4年泰鼎资产负债率变化情况</w:t>
      </w:r>
    </w:p>
    <w:p>
      <w:pPr>
        <w:spacing w:after="150"/>
      </w:pPr>
      <w:r>
        <w:rPr/>
        <w:t xml:space="preserve">图表87 近4年泰鼎总资产周转次数变化情况</w:t>
      </w:r>
    </w:p>
    <w:p>
      <w:pPr>
        <w:spacing w:after="150"/>
      </w:pPr>
      <w:r>
        <w:rPr/>
        <w:t xml:space="preserve">图表88 近4年泰鼎总资产周转次数变化情况</w:t>
      </w:r>
    </w:p>
    <w:p>
      <w:pPr>
        <w:spacing w:after="150"/>
      </w:pPr>
      <w:r>
        <w:rPr/>
        <w:t xml:space="preserve">图表89 近4年泰鼎固定资产周转次数情况</w:t>
      </w:r>
    </w:p>
    <w:p>
      <w:pPr>
        <w:spacing w:after="150"/>
      </w:pPr>
      <w:r>
        <w:rPr/>
        <w:t xml:space="preserve">图表90 近4年泰鼎固定资产周转次数情况</w:t>
      </w:r>
    </w:p>
    <w:p>
      <w:pPr>
        <w:spacing w:after="150"/>
      </w:pPr>
      <w:r>
        <w:rPr/>
        <w:t xml:space="preserve">图表91 近4年杭州国芯科技股份有限公司流动资产周转次数变化情况</w:t>
      </w:r>
    </w:p>
    <w:p>
      <w:pPr>
        <w:spacing w:after="150"/>
      </w:pPr>
      <w:r>
        <w:rPr/>
        <w:t xml:space="preserve">图表92 近4年杭州国芯科技股份有限公司流动资产周转次数变化情况</w:t>
      </w:r>
    </w:p>
    <w:p>
      <w:pPr>
        <w:spacing w:after="150"/>
      </w:pPr>
      <w:r>
        <w:rPr/>
        <w:t xml:space="preserve">图表93 近4年杭州国芯科技股份有限公司产权比率变化情况</w:t>
      </w:r>
    </w:p>
    <w:p>
      <w:pPr>
        <w:spacing w:after="150"/>
      </w:pPr>
      <w:r>
        <w:rPr/>
        <w:t xml:space="preserve">图表94 近4年杭州国芯科技股份有限公司产权比率变化情况</w:t>
      </w:r>
    </w:p>
    <w:p>
      <w:pPr>
        <w:spacing w:after="150"/>
      </w:pPr>
      <w:r>
        <w:rPr/>
        <w:t xml:space="preserve">图表95 近4年杭州国芯科技股份有限公司销售毛利率变化情况</w:t>
      </w:r>
    </w:p>
    <w:p>
      <w:pPr>
        <w:spacing w:after="150"/>
      </w:pPr>
      <w:r>
        <w:rPr/>
        <w:t xml:space="preserve">图表96 近4年杭州国芯科技股份有限公司销售毛利率变化情况</w:t>
      </w:r>
    </w:p>
    <w:p>
      <w:pPr>
        <w:spacing w:after="150"/>
      </w:pPr>
      <w:r>
        <w:rPr/>
        <w:t xml:space="preserve">图表97 近4年杭州国芯科技股份有限公司资产负债率变化情况</w:t>
      </w:r>
    </w:p>
    <w:p>
      <w:pPr>
        <w:spacing w:after="150"/>
      </w:pPr>
      <w:r>
        <w:rPr/>
        <w:t xml:space="preserve">图表98 近4年杭州国芯科技股份有限公司资产负债率变化情况</w:t>
      </w:r>
    </w:p>
    <w:p>
      <w:pPr>
        <w:spacing w:after="150"/>
      </w:pPr>
      <w:r>
        <w:rPr/>
        <w:t xml:space="preserve">图表99 近4年杭州国芯科技股份有限公司总资产周转次数变化情况</w:t>
      </w:r>
    </w:p>
    <w:p>
      <w:pPr>
        <w:spacing w:after="150"/>
      </w:pPr>
      <w:r>
        <w:rPr/>
        <w:t xml:space="preserve">图表100 近4年杭州国芯科技股份有限公司总资产周转次数变化情况</w:t>
      </w:r>
    </w:p>
    <w:p>
      <w:pPr>
        <w:spacing w:after="150"/>
      </w:pPr>
      <w:r>
        <w:rPr/>
        <w:t xml:space="preserve">图表101 近4年杭州国芯科技股份有限公司固定资产周转次数情况</w:t>
      </w:r>
    </w:p>
    <w:p>
      <w:pPr>
        <w:spacing w:after="150"/>
      </w:pPr>
      <w:r>
        <w:rPr/>
        <w:t xml:space="preserve">图表102 近4年杭州国芯科技股份有限公司固定资产周转次数情况</w:t>
      </w:r>
    </w:p>
    <w:p>
      <w:pPr>
        <w:spacing w:after="150"/>
      </w:pPr>
      <w:r>
        <w:rPr/>
        <w:t xml:space="preserve">图表103 近4年中天联科流动资产周转次数变化情况</w:t>
      </w:r>
    </w:p>
    <w:p>
      <w:pPr>
        <w:spacing w:after="150"/>
      </w:pPr>
      <w:r>
        <w:rPr/>
        <w:t xml:space="preserve">图表104 近4年中天联科流动资产周转次数变化情况</w:t>
      </w:r>
    </w:p>
    <w:p>
      <w:pPr>
        <w:spacing w:after="150"/>
      </w:pPr>
      <w:r>
        <w:rPr/>
        <w:t xml:space="preserve">图表105 近4年中天联科产权比率变化情况</w:t>
      </w:r>
    </w:p>
    <w:p>
      <w:pPr>
        <w:spacing w:after="150"/>
      </w:pPr>
      <w:r>
        <w:rPr/>
        <w:t xml:space="preserve">图表106 近4年中天联科产权比率变化情况</w:t>
      </w:r>
    </w:p>
    <w:p>
      <w:pPr>
        <w:spacing w:after="150"/>
      </w:pPr>
      <w:r>
        <w:rPr/>
        <w:t xml:space="preserve">图表107 近4年中天联科销售毛利率变化情况</w:t>
      </w:r>
    </w:p>
    <w:p>
      <w:pPr>
        <w:spacing w:after="150"/>
      </w:pPr>
      <w:r>
        <w:rPr/>
        <w:t xml:space="preserve">图表108 近4年中天联科销售毛利率变化情况</w:t>
      </w:r>
    </w:p>
    <w:p>
      <w:pPr>
        <w:spacing w:after="150"/>
      </w:pPr>
      <w:r>
        <w:rPr/>
        <w:t xml:space="preserve">图表109 近4年中天联科资产负债率变化情况</w:t>
      </w:r>
    </w:p>
    <w:p>
      <w:pPr>
        <w:spacing w:after="150"/>
      </w:pPr>
      <w:r>
        <w:rPr/>
        <w:t xml:space="preserve">图表110 近4年中天联科资产负债率变化情况</w:t>
      </w:r>
    </w:p>
    <w:p>
      <w:pPr>
        <w:spacing w:after="150"/>
      </w:pPr>
      <w:r>
        <w:rPr/>
        <w:t xml:space="preserve">图表111 近4年中天联科总资产周转次数变化情况</w:t>
      </w:r>
    </w:p>
    <w:p>
      <w:pPr>
        <w:spacing w:after="150"/>
      </w:pPr>
      <w:r>
        <w:rPr/>
        <w:t xml:space="preserve">图表112 近4年中天联科总资产周转次数变化情况</w:t>
      </w:r>
    </w:p>
    <w:p>
      <w:pPr>
        <w:spacing w:after="150"/>
      </w:pPr>
      <w:r>
        <w:rPr/>
        <w:t xml:space="preserve">图表113 近4年中天联科固定资产周转次数情况</w:t>
      </w:r>
    </w:p>
    <w:p>
      <w:pPr>
        <w:spacing w:after="150"/>
      </w:pPr>
      <w:r>
        <w:rPr/>
        <w:t xml:space="preserve">图表114 近4年中天联科固定资产周转次数情况</w:t>
      </w:r>
    </w:p>
    <w:p>
      <w:pPr>
        <w:spacing w:after="150"/>
      </w:pPr>
      <w:r>
        <w:rPr/>
        <w:t xml:space="preserve">图表115 深圳市兆驰股份有限公司负债能力分析表</w:t>
      </w:r>
    </w:p>
    <w:p>
      <w:pPr>
        <w:spacing w:after="150"/>
      </w:pPr>
      <w:r>
        <w:rPr/>
        <w:t xml:space="preserve">图表116 深圳市兆驰股份有限公司利润能力分析表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2024-2029年中国地面数字电视行业市场深度调研及投资价值分析研究报告</dc:title>
  <dc:description>2024-2029年中国地面数字电视行业市场深度调研及投资价值分析研究报告</dc:description>
  <dc:subject>2024-2029年中国地面数字电视行业市场深度调研及投资价值分析研究报告</dc:subject>
  <cp:keywords>研究报告</cp:keywords>
  <cp:category>研究报告</cp:category>
  <cp:lastModifiedBy>北京中道泰和信息咨询有限公司</cp:lastModifiedBy>
  <dcterms:created xsi:type="dcterms:W3CDTF">2024-01-24T03:36:19+08:00</dcterms:created>
  <dcterms:modified xsi:type="dcterms:W3CDTF">2024-01-24T03:36:19+08:00</dcterms:modified>
</cp:coreProperties>
</file>

<file path=docProps/custom.xml><?xml version="1.0" encoding="utf-8"?>
<Properties xmlns="http://schemas.openxmlformats.org/officeDocument/2006/custom-properties" xmlns:vt="http://schemas.openxmlformats.org/officeDocument/2006/docPropsVTypes"/>
</file>