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2024-2029年马赛克瓷砖企业薪酬现状调研与未来趋势预测报告</w:t>
      </w:r>
    </w:p>
    <w:p>
      <w:pPr>
        <w:spacing w:after="150"/>
      </w:pPr>
      <w:r>
        <w:rPr>
          <w:b w:val="1"/>
          <w:bCs w:val="1"/>
        </w:rPr>
        <w:t xml:space="preserve">报告简介</w:t>
      </w:r>
    </w:p>
    <w:p>
      <w:pPr>
        <w:spacing w:after="150"/>
      </w:pPr>
      <w:r>
        <w:rPr/>
        <w:t xml:space="preserve">提起马赛克瓷砖，人们一定不会感到陌生，早在80年代初，就是许多家庭铺设卫生间墙面、地面的材料。时至今日，马赛克瓷砖卷土重来，以多姿多彩的形态重新成为装饰材料的宠儿，备受前卫、时尚家庭的青睐。</w:t>
      </w:r>
    </w:p>
    <w:p>
      <w:pPr>
        <w:spacing w:after="150"/>
      </w:pPr>
      <w:r>
        <w:rPr/>
        <w:t xml:space="preserve">马赛克是已知最古老的装饰艺术之一，它是使用小瓷砖或小陶片创造出的图案。在现代，马赛克更多的是属于瓷砖的一种，它是一种特殊存在方式的砖，一般由数十块小块的砖组成一个相对的大砖。它以小巧玲珑、色彩斑斓的特点被广泛使用于室内小面积地面、墙面和室外大小幅墙面和地面。马赛克由于体积较小，可以作一些拼图，产生渐变效果。</w:t>
      </w:r>
    </w:p>
    <w:p>
      <w:pPr>
        <w:spacing w:after="150"/>
      </w:pPr>
      <w:r>
        <w:rPr/>
        <w:t xml:space="preserve">如今，能用来制作马赛克的材料更多、更有弹性了。从沿用传统的大理石、小鹅卵石、玻璃砖、陶片、瓷片和珐琅等等，到任何生活中你可以使用的材料如钮扣、餐具或文具皆可。在今天这个高工业技术的时代，用金和银做出的玻璃状镶嵌片也可以大量生产。</w:t>
      </w:r>
    </w:p>
    <w:p>
      <w:pPr>
        <w:spacing w:after="150"/>
      </w:pPr>
      <w:r>
        <w:rPr/>
        <w:t xml:space="preserve">认为要建立起一个合理、科学的马赛克瓷砖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马赛克瓷砖薪酬行业及各子行业的发展状况、上下游行业发展状况、市场供需形势、新产品与技术等进行了分析，并重点分析了我国马赛克瓷砖薪酬行业发展状况和特点，以及中国马赛克瓷砖薪酬行业将面临的挑战、企业的发展策略等。报告还对全球马赛克瓷砖薪酬行业发展态势作了详细分析，并对马赛克瓷砖薪酬行业进行了趋向研判，是马赛克瓷砖薪酬生产、经营企业，科研、投资机构等单位准确了解目前马赛克瓷砖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马赛克瓷砖行业薪酬构成细项解析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马赛克瓷砖行业薪酬环境分析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马赛克瓷砖行业薪酬管理方法论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马赛克瓷砖行业薪酬管理诊断指标展示(一个定性，四个定量)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马赛克瓷砖行业薪酬人力资源管理现状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马赛克瓷砖行业等级薪酬分析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马赛克瓷砖行业薪酬内部公平性分析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马赛克瓷砖行业薪酬外部竞争性分析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马赛克瓷砖行业薪酬激励性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马赛克瓷砖行业薪酬经济性分析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2019-2023年马赛克瓷砖行业各区域企业薪酬发展分析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马赛克瓷砖行业重点企业薪酬管理现状分析</w:t>
      </w:r>
    </w:p>
    <w:p>
      <w:pPr>
        <w:spacing w:after="150"/>
      </w:pPr>
      <w:r>
        <w:rPr/>
        <w:t xml:space="preserve">第一节 碧莎马赛克(上海)有限公司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第二节 佛山市荣冠玻璃建材有限公司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第三节 四会市伟祺玻璃建材有限公司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第四节 佛山市石湾裕龙陶瓷有限公司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第五节 佛山市顺德区赛德装饰材料有限公司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第六节 开平市玫瑰艺术马赛克有限公司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第七节 新会江龙翡翠制品有限公司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第八节 佛山市亮雅建材有限公司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第九节 成都磊富艺术石业有限公司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第十节 厦门萨格石业有限公司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b w:val="1"/>
          <w:bCs w:val="1"/>
        </w:rPr>
        <w:t xml:space="preserve">第四部分 发展战略分析</w:t>
      </w:r>
    </w:p>
    <w:p>
      <w:pPr>
        <w:spacing w:after="150"/>
      </w:pPr>
      <w:r>
        <w:rPr>
          <w:b w:val="1"/>
          <w:bCs w:val="1"/>
        </w:rPr>
        <w:t xml:space="preserve">第十三章 马赛克瓷砖行业企业薪酬策略分析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2024-2029马赛克瓷砖行业企业薪酬发展建议分析</w:t>
      </w:r>
    </w:p>
    <w:p>
      <w:pPr>
        <w:spacing w:after="150"/>
      </w:pPr>
      <w:r>
        <w:rPr/>
        <w:t xml:space="preserve">第一节 马赛克瓷砖行业企业薪酬研究结论及建议</w:t>
      </w:r>
    </w:p>
    <w:p>
      <w:pPr>
        <w:spacing w:after="150"/>
      </w:pPr>
      <w:r>
        <w:rPr/>
        <w:t xml:space="preserve">第二节 马赛克瓷砖行业企业薪酬研究结论及建议</w:t>
      </w:r>
    </w:p>
    <w:p>
      <w:pPr>
        <w:spacing w:after="150"/>
      </w:pPr>
      <w:r>
        <w:rPr/>
        <w:t xml:space="preserve">第三节 马赛克瓷砖行业企业薪酬竞争策略总结及建议</w:t>
      </w:r>
    </w:p>
    <w:p>
      <w:pPr>
        <w:spacing w:after="150"/>
      </w:pPr>
      <w:r>
        <w:rPr>
          <w:b w:val="1"/>
          <w:bCs w:val="1"/>
        </w:rPr>
        <w:t xml:space="preserve">图表目录</w:t>
      </w:r>
    </w:p>
    <w:p>
      <w:pPr>
        <w:spacing w:after="150"/>
      </w:pPr>
      <w:r>
        <w:rPr/>
        <w:t xml:space="preserve">图表：马赛克瓷砖薪酬行业分类表</w:t>
      </w:r>
    </w:p>
    <w:p>
      <w:pPr>
        <w:spacing w:after="150"/>
      </w:pPr>
      <w:r>
        <w:rPr/>
        <w:t xml:space="preserve">图表：2019-2023年马赛克瓷砖薪酬行业总产值及占GDP比重(单位：亿元，%)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图表：马赛克瓷砖薪酬行业所处产业链示意图</w:t>
      </w:r>
    </w:p>
    <w:p>
      <w:pPr>
        <w:spacing w:after="150"/>
      </w:pPr>
      <w:r>
        <w:rPr/>
        <w:t xml:space="preserve">图表：中国马赛克瓷砖薪酬主要消费群体特点分析(元)</w:t>
      </w:r>
    </w:p>
    <w:p>
      <w:pPr>
        <w:spacing w:after="150"/>
      </w:pPr>
      <w:r>
        <w:rPr/>
        <w:t xml:space="preserve">图表：2019-2023年马赛克瓷砖行业管理层工资分布情况</w:t>
      </w:r>
    </w:p>
    <w:p>
      <w:pPr>
        <w:spacing w:after="150"/>
      </w:pPr>
      <w:r>
        <w:rPr/>
        <w:t xml:space="preserve">图表：2019-2023年马赛克瓷砖行业普通员工工资分析</w:t>
      </w:r>
    </w:p>
    <w:p>
      <w:pPr>
        <w:spacing w:after="150"/>
      </w:pPr>
      <w:r>
        <w:rPr/>
        <w:t xml:space="preserve">图表：2019-2023年马赛克瓷砖行业管理成本分析</w:t>
      </w:r>
    </w:p>
    <w:p>
      <w:pPr>
        <w:spacing w:after="150"/>
      </w:pPr>
      <w:r>
        <w:rPr/>
        <w:t xml:space="preserve">图表：2019-2023年马赛克瓷砖行业人力资源分布图分析</w:t>
      </w:r>
    </w:p>
    <w:p>
      <w:pPr>
        <w:spacing w:after="150"/>
      </w:pPr>
      <w:r>
        <w:rPr/>
        <w:t xml:space="preserve">图表：2019-2023年马赛克瓷砖行业中层员工工资分析</w:t>
      </w:r>
    </w:p>
    <w:p>
      <w:pPr>
        <w:spacing w:after="150"/>
      </w:pPr>
      <w:r>
        <w:rPr/>
        <w:t xml:space="preserve">图表：2019-2023年马赛克瓷砖行业工资增长变化情况</w:t>
      </w:r>
    </w:p>
    <w:p>
      <w:pPr>
        <w:spacing w:after="150"/>
      </w:pPr>
      <w:r>
        <w:rPr/>
        <w:t xml:space="preserve">图表：2019-2023年马赛克瓷砖行业管理层变化情况</w:t>
      </w:r>
    </w:p>
    <w:p>
      <w:pPr>
        <w:spacing w:after="150"/>
      </w:pPr>
      <w:r>
        <w:rPr/>
        <w:t xml:space="preserve">图表：2019-2023年马赛克瓷砖行业销售费用变化情况</w:t>
      </w:r>
    </w:p>
    <w:p>
      <w:pPr>
        <w:spacing w:after="150"/>
      </w:pPr>
      <w:r>
        <w:rPr/>
        <w:t xml:space="preserve">图表：2019-2023年马赛克瓷砖行业销售费用占比变化情况</w:t>
      </w:r>
    </w:p>
    <w:p>
      <w:pPr>
        <w:spacing w:after="150"/>
      </w:pPr>
      <w:r>
        <w:rPr/>
        <w:t xml:space="preserve">图表：2024-2029年马赛克瓷砖行业管理成本预测</w:t>
      </w:r>
    </w:p>
    <w:p>
      <w:pPr>
        <w:spacing w:after="150"/>
      </w:pPr>
      <w:r>
        <w:rPr/>
        <w:t xml:space="preserve">图表：2024-2029年中国马赛克瓷砖行业工资收入预测</w:t>
      </w:r>
    </w:p>
    <w:p>
      <w:pPr>
        <w:spacing w:after="150"/>
      </w:pPr>
      <w:r>
        <w:rPr/>
        <w:t xml:space="preserve">图表：马赛克瓷砖行业规划品牌目标</w:t>
      </w:r>
    </w:p>
    <w:p>
      <w:pPr>
        <w:spacing w:after="150"/>
      </w:pPr>
      <w:r>
        <w:rPr/>
        <w:t xml:space="preserve">图表：马赛克瓷砖行业新产品份额规划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2024-2029年马赛克瓷砖企业薪酬现状调研与未来趋势预测报告</dc:title>
  <dc:description>2024-2029年马赛克瓷砖企业薪酬现状调研与未来趋势预测报告</dc:description>
  <dc:subject>2024-2029年马赛克瓷砖企业薪酬现状调研与未来趋势预测报告</dc:subject>
  <cp:keywords>研究报告</cp:keywords>
  <cp:category>研究报告</cp:category>
  <cp:lastModifiedBy>北京中道泰和信息咨询有限公司</cp:lastModifiedBy>
  <dcterms:created xsi:type="dcterms:W3CDTF">2024-01-23T05:40:50+08:00</dcterms:created>
  <dcterms:modified xsi:type="dcterms:W3CDTF">2024-01-23T05:40:50+08:00</dcterms:modified>
</cp:coreProperties>
</file>

<file path=docProps/custom.xml><?xml version="1.0" encoding="utf-8"?>
<Properties xmlns="http://schemas.openxmlformats.org/officeDocument/2006/custom-properties" xmlns:vt="http://schemas.openxmlformats.org/officeDocument/2006/docPropsVTypes"/>
</file>