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2024-2029年中国量子通信行业竞争格局分析及发展前景预测报告</w:t>
      </w:r>
    </w:p>
    <w:p>
      <w:pPr>
        <w:spacing w:after="150"/>
      </w:pPr>
      <w:r>
        <w:rPr>
          <w:b w:val="1"/>
          <w:bCs w:val="1"/>
        </w:rPr>
        <w:t xml:space="preserve">报告简介</w:t>
      </w:r>
    </w:p>
    <w:p>
      <w:pPr>
        <w:spacing w:after="150"/>
      </w:pPr>
      <w:r>
        <w:rPr/>
        <w:t xml:space="preserve">量子通信是指利用量子纠缠效应进行信息传递的新型通讯方式，是量子论和信息论相结合的成果。量子通信具有绝对安全和高效率等特点，给信息安全带来了革命式的发展，是目前国际量子物理和信息科学的主要研究方向，主要涉及的领域包括：量子远程传态、量子密码通信等。目前应用发展相对成熟的为量子密码通信。</w:t>
      </w:r>
    </w:p>
    <w:p>
      <w:pPr>
        <w:spacing w:after="150"/>
      </w:pPr>
      <w:r>
        <w:rPr/>
        <w:t xml:space="preserve">在我国大力支持高科技战略新兴产业发展的现阶段，以量子信息技术为代表的高尖端领域或许已经迎来最好的发展时期，未来政府加大投入和扶持力度是大概率事件。同时国家层面对于信息安全空前的重视程度，都促使量子信息成为具有顶层战略意义的重要领域和发展方向，未来发展空间广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量子通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量子通信基本概述</w:t>
      </w:r>
    </w:p>
    <w:p>
      <w:pPr>
        <w:spacing w:after="150"/>
      </w:pPr>
      <w:r>
        <w:rPr/>
        <w:t xml:space="preserve">1.1 量子信息相关介绍</w:t>
      </w:r>
    </w:p>
    <w:p>
      <w:pPr>
        <w:spacing w:after="150"/>
      </w:pPr>
      <w:r>
        <w:rPr/>
        <w:t xml:space="preserve">1.1.1 通讯数学</w:t>
      </w:r>
    </w:p>
    <w:p>
      <w:pPr>
        <w:spacing w:after="150"/>
      </w:pPr>
      <w:r>
        <w:rPr/>
        <w:t xml:space="preserve">1.1.2 量子论创立</w:t>
      </w:r>
    </w:p>
    <w:p>
      <w:pPr>
        <w:spacing w:after="150"/>
      </w:pPr>
      <w:r>
        <w:rPr/>
        <w:t xml:space="preserve">1.1.3 量子计算机</w:t>
      </w:r>
    </w:p>
    <w:p>
      <w:pPr>
        <w:spacing w:after="150"/>
      </w:pPr>
      <w:r>
        <w:rPr/>
        <w:t xml:space="preserve">1.1.4 量子信息的应用</w:t>
      </w:r>
    </w:p>
    <w:p>
      <w:pPr>
        <w:spacing w:after="150"/>
      </w:pPr>
      <w:r>
        <w:rPr/>
        <w:t xml:space="preserve">1.2 量子通信行业介绍</w:t>
      </w:r>
    </w:p>
    <w:p>
      <w:pPr>
        <w:spacing w:after="150"/>
      </w:pPr>
      <w:r>
        <w:rPr/>
        <w:t xml:space="preserve">1.2.1 概念介绍</w:t>
      </w:r>
    </w:p>
    <w:p>
      <w:pPr>
        <w:spacing w:after="150"/>
      </w:pPr>
      <w:r>
        <w:rPr/>
        <w:t xml:space="preserve">1.2.2 系统组成</w:t>
      </w:r>
    </w:p>
    <w:p>
      <w:pPr>
        <w:spacing w:after="150"/>
      </w:pPr>
      <w:r>
        <w:rPr/>
        <w:t xml:space="preserve">1.2.3 主要形式</w:t>
      </w:r>
    </w:p>
    <w:p>
      <w:pPr>
        <w:spacing w:after="150"/>
      </w:pPr>
      <w:r>
        <w:rPr/>
        <w:t xml:space="preserve">1.2.4 硬件设备</w:t>
      </w:r>
    </w:p>
    <w:p>
      <w:pPr>
        <w:spacing w:after="150"/>
      </w:pPr>
      <w:r>
        <w:rPr/>
        <w:t xml:space="preserve">1.3 量子通信工作原理</w:t>
      </w:r>
    </w:p>
    <w:p>
      <w:pPr>
        <w:spacing w:after="150"/>
      </w:pPr>
      <w:r>
        <w:rPr/>
        <w:t xml:space="preserve">1.3.1 量子纠缠效应</w:t>
      </w:r>
    </w:p>
    <w:p>
      <w:pPr>
        <w:spacing w:after="150"/>
      </w:pPr>
      <w:r>
        <w:rPr/>
        <w:t xml:space="preserve">1.3.2 量子状态信息化</w:t>
      </w:r>
    </w:p>
    <w:p>
      <w:pPr>
        <w:spacing w:after="150"/>
      </w:pPr>
      <w:r>
        <w:rPr/>
        <w:t xml:space="preserve">1.3.3 量子密钥分配</w:t>
      </w:r>
    </w:p>
    <w:p>
      <w:pPr>
        <w:spacing w:after="150"/>
      </w:pPr>
      <w:r>
        <w:rPr/>
        <w:t xml:space="preserve">1.3.4 量子隐形传态</w:t>
      </w:r>
    </w:p>
    <w:p>
      <w:pPr>
        <w:spacing w:after="150"/>
      </w:pPr>
      <w:r>
        <w:rPr/>
        <w:t xml:space="preserve">1.3.5 量子密集编码</w:t>
      </w:r>
    </w:p>
    <w:p>
      <w:pPr>
        <w:spacing w:after="150"/>
      </w:pPr>
      <w:r>
        <w:rPr>
          <w:b w:val="1"/>
          <w:bCs w:val="1"/>
        </w:rPr>
        <w:t xml:space="preserve">第二章 2019-2023年量子通信行业PEST分析</w:t>
      </w:r>
    </w:p>
    <w:p>
      <w:pPr>
        <w:spacing w:after="150"/>
      </w:pPr>
      <w:r>
        <w:rPr/>
        <w:t xml:space="preserve">2.1 政策环境(Political)</w:t>
      </w:r>
    </w:p>
    <w:p>
      <w:pPr>
        <w:spacing w:after="150"/>
      </w:pPr>
      <w:r>
        <w:rPr/>
        <w:t xml:space="preserve">2.1.1 纳入“十四五”规划</w:t>
      </w:r>
    </w:p>
    <w:p>
      <w:pPr>
        <w:spacing w:after="150"/>
      </w:pPr>
      <w:r>
        <w:rPr/>
        <w:t xml:space="preserve">2.1.2 重点研发计划政策</w:t>
      </w:r>
    </w:p>
    <w:p>
      <w:pPr>
        <w:spacing w:after="150"/>
      </w:pPr>
      <w:r>
        <w:rPr/>
        <w:t xml:space="preserve">2.1.3 国家安全战略纲要</w:t>
      </w:r>
    </w:p>
    <w:p>
      <w:pPr>
        <w:spacing w:after="150"/>
      </w:pPr>
      <w:r>
        <w:rPr/>
        <w:t xml:space="preserve">2.1.4 电信网络安全政策</w:t>
      </w:r>
    </w:p>
    <w:p>
      <w:pPr>
        <w:spacing w:after="150"/>
      </w:pPr>
      <w:r>
        <w:rPr/>
        <w:t xml:space="preserve">2.1.5 长三角区域政策</w:t>
      </w:r>
    </w:p>
    <w:p>
      <w:pPr>
        <w:spacing w:after="150"/>
      </w:pPr>
      <w:r>
        <w:rPr/>
        <w:t xml:space="preserve">2.2 经济环境(Economic)</w:t>
      </w:r>
    </w:p>
    <w:p>
      <w:pPr>
        <w:spacing w:after="150"/>
      </w:pPr>
      <w:r>
        <w:rPr/>
        <w:t xml:space="preserve">2.2.1 国民经济发展态势</w:t>
      </w:r>
    </w:p>
    <w:p>
      <w:pPr>
        <w:spacing w:after="150"/>
      </w:pPr>
      <w:r>
        <w:rPr/>
        <w:t xml:space="preserve">2.2.2 工业经济运行情况</w:t>
      </w:r>
    </w:p>
    <w:p>
      <w:pPr>
        <w:spacing w:after="150"/>
      </w:pPr>
      <w:r>
        <w:rPr/>
        <w:t xml:space="preserve">2.2.3 通信经济运行情况</w:t>
      </w:r>
    </w:p>
    <w:p>
      <w:pPr>
        <w:spacing w:after="150"/>
      </w:pPr>
      <w:r>
        <w:rPr/>
        <w:t xml:space="preserve">2.2.4 宏观经济发展走势</w:t>
      </w:r>
    </w:p>
    <w:p>
      <w:pPr>
        <w:spacing w:after="150"/>
      </w:pPr>
      <w:r>
        <w:rPr/>
        <w:t xml:space="preserve">2.3 社会环境(Social)</w:t>
      </w:r>
    </w:p>
    <w:p>
      <w:pPr>
        <w:spacing w:after="150"/>
      </w:pPr>
      <w:r>
        <w:rPr/>
        <w:t xml:space="preserve">2.3.1 两化深度融合</w:t>
      </w:r>
    </w:p>
    <w:p>
      <w:pPr>
        <w:spacing w:after="150"/>
      </w:pPr>
      <w:r>
        <w:rPr/>
        <w:t xml:space="preserve">2.3.2 信息安全威胁</w:t>
      </w:r>
    </w:p>
    <w:p>
      <w:pPr>
        <w:spacing w:after="150"/>
      </w:pPr>
      <w:r>
        <w:rPr/>
        <w:t xml:space="preserve">2.3.3 产业联盟成立</w:t>
      </w:r>
    </w:p>
    <w:p>
      <w:pPr>
        <w:spacing w:after="150"/>
      </w:pPr>
      <w:r>
        <w:rPr/>
        <w:t xml:space="preserve">2.4 技术环境(Technological)</w:t>
      </w:r>
    </w:p>
    <w:p>
      <w:pPr>
        <w:spacing w:after="150"/>
      </w:pPr>
      <w:r>
        <w:rPr/>
        <w:t xml:space="preserve">2.4.1 关键技术分析</w:t>
      </w:r>
    </w:p>
    <w:p>
      <w:pPr>
        <w:spacing w:after="150"/>
      </w:pPr>
      <w:r>
        <w:rPr/>
        <w:t xml:space="preserve">2.4.2 技术进展情况</w:t>
      </w:r>
    </w:p>
    <w:p>
      <w:pPr>
        <w:spacing w:after="150"/>
      </w:pPr>
      <w:r>
        <w:rPr/>
        <w:t xml:space="preserve">2.4.3 技术改进空间</w:t>
      </w:r>
    </w:p>
    <w:p>
      <w:pPr>
        <w:spacing w:after="150"/>
      </w:pPr>
      <w:r>
        <w:rPr>
          <w:b w:val="1"/>
          <w:bCs w:val="1"/>
        </w:rPr>
        <w:t xml:space="preserve">第三章 2019-2023年国际量子通信发展分析</w:t>
      </w:r>
    </w:p>
    <w:p>
      <w:pPr>
        <w:spacing w:after="150"/>
      </w:pPr>
      <w:r>
        <w:rPr/>
        <w:t xml:space="preserve">3.1 国际量子通信发展态势</w:t>
      </w:r>
    </w:p>
    <w:p>
      <w:pPr>
        <w:spacing w:after="150"/>
      </w:pPr>
      <w:r>
        <w:rPr/>
        <w:t xml:space="preserve">3.1.1 行业发展历史</w:t>
      </w:r>
    </w:p>
    <w:p>
      <w:pPr>
        <w:spacing w:after="150"/>
      </w:pPr>
      <w:r>
        <w:rPr/>
        <w:t xml:space="preserve">3.1.2 行业发展特点</w:t>
      </w:r>
    </w:p>
    <w:p>
      <w:pPr>
        <w:spacing w:after="150"/>
      </w:pPr>
      <w:r>
        <w:rPr/>
        <w:t xml:space="preserve">3.1.3 行业发展优势</w:t>
      </w:r>
    </w:p>
    <w:p>
      <w:pPr>
        <w:spacing w:after="150"/>
      </w:pPr>
      <w:r>
        <w:rPr/>
        <w:t xml:space="preserve">3.1.4 巨头参与情况</w:t>
      </w:r>
    </w:p>
    <w:p>
      <w:pPr>
        <w:spacing w:after="150"/>
      </w:pPr>
      <w:r>
        <w:rPr/>
        <w:t xml:space="preserve">3.1.5 相关企业发展</w:t>
      </w:r>
    </w:p>
    <w:p>
      <w:pPr>
        <w:spacing w:after="150"/>
      </w:pPr>
      <w:r>
        <w:rPr/>
        <w:t xml:space="preserve">3.2 美国量子通信发展分析</w:t>
      </w:r>
    </w:p>
    <w:p>
      <w:pPr>
        <w:spacing w:after="150"/>
      </w:pPr>
      <w:r>
        <w:rPr/>
        <w:t xml:space="preserve">3.2.1 行业发展概况</w:t>
      </w:r>
    </w:p>
    <w:p>
      <w:pPr>
        <w:spacing w:after="150"/>
      </w:pPr>
      <w:r>
        <w:rPr/>
        <w:t xml:space="preserve">3.2.2 DARPA量子网络</w:t>
      </w:r>
    </w:p>
    <w:p>
      <w:pPr>
        <w:spacing w:after="150"/>
      </w:pPr>
      <w:r>
        <w:rPr/>
        <w:t xml:space="preserve">3.2.3 NIST量子网络</w:t>
      </w:r>
    </w:p>
    <w:p>
      <w:pPr>
        <w:spacing w:after="150"/>
      </w:pPr>
      <w:r>
        <w:rPr/>
        <w:t xml:space="preserve">3.2.4 LANL量子网络</w:t>
      </w:r>
    </w:p>
    <w:p>
      <w:pPr>
        <w:spacing w:after="150"/>
      </w:pPr>
      <w:r>
        <w:rPr/>
        <w:t xml:space="preserve">3.2.5 巴特尔量子网络</w:t>
      </w:r>
    </w:p>
    <w:p>
      <w:pPr>
        <w:spacing w:after="150"/>
      </w:pPr>
      <w:r>
        <w:rPr/>
        <w:t xml:space="preserve">3.2.6 量子通信网络部署</w:t>
      </w:r>
    </w:p>
    <w:p>
      <w:pPr>
        <w:spacing w:after="150"/>
      </w:pPr>
      <w:r>
        <w:rPr/>
        <w:t xml:space="preserve">3.3 欧盟量子通信发展分析</w:t>
      </w:r>
    </w:p>
    <w:p>
      <w:pPr>
        <w:spacing w:after="150"/>
      </w:pPr>
      <w:r>
        <w:rPr/>
        <w:t xml:space="preserve">3.3.1 行业发展概况</w:t>
      </w:r>
    </w:p>
    <w:p>
      <w:pPr>
        <w:spacing w:after="150"/>
      </w:pPr>
      <w:r>
        <w:rPr/>
        <w:t xml:space="preserve">3.3.2 SECOQC量子网络</w:t>
      </w:r>
    </w:p>
    <w:p>
      <w:pPr>
        <w:spacing w:after="150"/>
      </w:pPr>
      <w:r>
        <w:rPr/>
        <w:t xml:space="preserve">3.3.3 日内瓦量子网络</w:t>
      </w:r>
    </w:p>
    <w:p>
      <w:pPr>
        <w:spacing w:after="150"/>
      </w:pPr>
      <w:r>
        <w:rPr/>
        <w:t xml:space="preserve">3.3.4 马德里量子网络</w:t>
      </w:r>
    </w:p>
    <w:p>
      <w:pPr>
        <w:spacing w:after="150"/>
      </w:pPr>
      <w:r>
        <w:rPr/>
        <w:t xml:space="preserve">3.4 日本量子通信发展分析</w:t>
      </w:r>
    </w:p>
    <w:p>
      <w:pPr>
        <w:spacing w:after="150"/>
      </w:pPr>
      <w:r>
        <w:rPr/>
        <w:t xml:space="preserve">3.4.1 量子通信网络建设</w:t>
      </w:r>
    </w:p>
    <w:p>
      <w:pPr>
        <w:spacing w:after="150"/>
      </w:pPr>
      <w:r>
        <w:rPr/>
        <w:t xml:space="preserve">3.4.2 行业研究成果</w:t>
      </w:r>
    </w:p>
    <w:p>
      <w:pPr>
        <w:spacing w:after="150"/>
      </w:pPr>
      <w:r>
        <w:rPr/>
        <w:t xml:space="preserve">3.4.3 行业发展战略</w:t>
      </w:r>
    </w:p>
    <w:p>
      <w:pPr>
        <w:spacing w:after="150"/>
      </w:pPr>
      <w:r>
        <w:rPr>
          <w:b w:val="1"/>
          <w:bCs w:val="1"/>
        </w:rPr>
        <w:t xml:space="preserve">第四章 2019-2023年中国量子通信发展分析</w:t>
      </w:r>
    </w:p>
    <w:p>
      <w:pPr>
        <w:spacing w:after="150"/>
      </w:pPr>
      <w:r>
        <w:rPr/>
        <w:t xml:space="preserve">4.1 中国量子通信发展状况</w:t>
      </w:r>
    </w:p>
    <w:p>
      <w:pPr>
        <w:spacing w:after="150"/>
      </w:pPr>
      <w:r>
        <w:rPr/>
        <w:t xml:space="preserve">4.1.1 行业发展历程</w:t>
      </w:r>
    </w:p>
    <w:p>
      <w:pPr>
        <w:spacing w:after="150"/>
      </w:pPr>
      <w:r>
        <w:rPr/>
        <w:t xml:space="preserve">4.1.2 行业地位分析</w:t>
      </w:r>
    </w:p>
    <w:p>
      <w:pPr>
        <w:spacing w:after="150"/>
      </w:pPr>
      <w:r>
        <w:rPr/>
        <w:t xml:space="preserve">4.1.3 产业化起步</w:t>
      </w:r>
    </w:p>
    <w:p>
      <w:pPr>
        <w:spacing w:after="150"/>
      </w:pPr>
      <w:r>
        <w:rPr/>
        <w:t xml:space="preserve">4.1.4 量子中继发展</w:t>
      </w:r>
    </w:p>
    <w:p>
      <w:pPr>
        <w:spacing w:after="150"/>
      </w:pPr>
      <w:r>
        <w:rPr/>
        <w:t xml:space="preserve">4.1.5 天宫二号实验</w:t>
      </w:r>
    </w:p>
    <w:p>
      <w:pPr>
        <w:spacing w:after="150"/>
      </w:pPr>
      <w:r>
        <w:rPr/>
        <w:t xml:space="preserve">4.2 中国广域量子网络建设</w:t>
      </w:r>
    </w:p>
    <w:p>
      <w:pPr>
        <w:spacing w:after="150"/>
      </w:pPr>
      <w:r>
        <w:rPr/>
        <w:t xml:space="preserve">4.2.1 网络建设层次</w:t>
      </w:r>
    </w:p>
    <w:p>
      <w:pPr>
        <w:spacing w:after="150"/>
      </w:pPr>
      <w:r>
        <w:rPr/>
        <w:t xml:space="preserve">4.2.2 合肥城域网</w:t>
      </w:r>
    </w:p>
    <w:p>
      <w:pPr>
        <w:spacing w:after="150"/>
      </w:pPr>
      <w:r>
        <w:rPr/>
        <w:t xml:space="preserve">4.2.3 济南城域网</w:t>
      </w:r>
    </w:p>
    <w:p>
      <w:pPr>
        <w:spacing w:after="150"/>
      </w:pPr>
      <w:r>
        <w:rPr/>
        <w:t xml:space="preserve">4.2.4 京沪干线</w:t>
      </w:r>
    </w:p>
    <w:p>
      <w:pPr>
        <w:spacing w:after="150"/>
      </w:pPr>
      <w:r>
        <w:rPr/>
        <w:t xml:space="preserve">4.2.5 沪杭干线</w:t>
      </w:r>
    </w:p>
    <w:p>
      <w:pPr>
        <w:spacing w:after="150"/>
      </w:pPr>
      <w:r>
        <w:rPr/>
        <w:t xml:space="preserve">4.2.6 武合干线</w:t>
      </w:r>
    </w:p>
    <w:p>
      <w:pPr>
        <w:spacing w:after="150"/>
      </w:pPr>
      <w:r>
        <w:rPr/>
        <w:t xml:space="preserve">4.2.7 量子通信卫星</w:t>
      </w:r>
    </w:p>
    <w:p>
      <w:pPr>
        <w:spacing w:after="150"/>
      </w:pPr>
      <w:r>
        <w:rPr/>
        <w:t xml:space="preserve">4.3 中国量子通信实用化路径</w:t>
      </w:r>
    </w:p>
    <w:p>
      <w:pPr>
        <w:spacing w:after="150"/>
      </w:pPr>
      <w:r>
        <w:rPr/>
        <w:t xml:space="preserve">4.3.1 与传统通信融合</w:t>
      </w:r>
    </w:p>
    <w:p>
      <w:pPr>
        <w:spacing w:after="150"/>
      </w:pPr>
      <w:r>
        <w:rPr/>
        <w:t xml:space="preserve">4.3.2 物理层融合</w:t>
      </w:r>
    </w:p>
    <w:p>
      <w:pPr>
        <w:spacing w:after="150"/>
      </w:pPr>
      <w:r>
        <w:rPr/>
        <w:t xml:space="preserve">4.3.3 网络层融合</w:t>
      </w:r>
    </w:p>
    <w:p>
      <w:pPr>
        <w:spacing w:after="150"/>
      </w:pPr>
      <w:r>
        <w:rPr/>
        <w:t xml:space="preserve">4.3.4 应用层融合</w:t>
      </w:r>
    </w:p>
    <w:p>
      <w:pPr>
        <w:spacing w:after="150"/>
      </w:pPr>
      <w:r>
        <w:rPr/>
        <w:t xml:space="preserve">4.4 中国量子通信区域发展布局</w:t>
      </w:r>
    </w:p>
    <w:p>
      <w:pPr>
        <w:spacing w:after="150"/>
      </w:pPr>
      <w:r>
        <w:rPr/>
        <w:t xml:space="preserve">4.4.1 山东产业布局</w:t>
      </w:r>
    </w:p>
    <w:p>
      <w:pPr>
        <w:spacing w:after="150"/>
      </w:pPr>
      <w:r>
        <w:rPr/>
        <w:t xml:space="preserve">4.4.2 安徽产业布局</w:t>
      </w:r>
    </w:p>
    <w:p>
      <w:pPr>
        <w:spacing w:after="150"/>
      </w:pPr>
      <w:r>
        <w:rPr/>
        <w:t xml:space="preserve">4.4.3 上海产业布局</w:t>
      </w:r>
    </w:p>
    <w:p>
      <w:pPr>
        <w:spacing w:after="150"/>
      </w:pPr>
      <w:r>
        <w:rPr/>
        <w:t xml:space="preserve">4.4.4 浙江产业布局</w:t>
      </w:r>
    </w:p>
    <w:p>
      <w:pPr>
        <w:spacing w:after="150"/>
      </w:pPr>
      <w:r>
        <w:rPr/>
        <w:t xml:space="preserve">4.5 中国量子通信发展问题及建议</w:t>
      </w:r>
    </w:p>
    <w:p>
      <w:pPr>
        <w:spacing w:after="150"/>
      </w:pPr>
      <w:r>
        <w:rPr/>
        <w:t xml:space="preserve">4.5.1 行业认识误区</w:t>
      </w:r>
    </w:p>
    <w:p>
      <w:pPr>
        <w:spacing w:after="150"/>
      </w:pPr>
      <w:r>
        <w:rPr/>
        <w:t xml:space="preserve">4.5.2 技术发展问题</w:t>
      </w:r>
    </w:p>
    <w:p>
      <w:pPr>
        <w:spacing w:after="150"/>
      </w:pPr>
      <w:r>
        <w:rPr/>
        <w:t xml:space="preserve">4.5.3 发展对策建议</w:t>
      </w:r>
    </w:p>
    <w:p>
      <w:pPr>
        <w:spacing w:after="150"/>
      </w:pPr>
      <w:r>
        <w:rPr>
          <w:b w:val="1"/>
          <w:bCs w:val="1"/>
        </w:rPr>
        <w:t xml:space="preserve">第五章 2019-2023年量子通信设备发展分析</w:t>
      </w:r>
    </w:p>
    <w:p>
      <w:pPr>
        <w:spacing w:after="150"/>
      </w:pPr>
      <w:r>
        <w:rPr/>
        <w:t xml:space="preserve">5.1 量子密钥分配终端</w:t>
      </w:r>
    </w:p>
    <w:p>
      <w:pPr>
        <w:spacing w:after="150"/>
      </w:pPr>
      <w:r>
        <w:rPr/>
        <w:t xml:space="preserve">5.1.1 基本介绍</w:t>
      </w:r>
    </w:p>
    <w:p>
      <w:pPr>
        <w:spacing w:after="150"/>
      </w:pPr>
      <w:r>
        <w:rPr/>
        <w:t xml:space="preserve">5.1.2 激光器</w:t>
      </w:r>
    </w:p>
    <w:p>
      <w:pPr>
        <w:spacing w:after="150"/>
      </w:pPr>
      <w:r>
        <w:rPr/>
        <w:t xml:space="preserve">5.1.3 单光子探测器</w:t>
      </w:r>
    </w:p>
    <w:p>
      <w:pPr>
        <w:spacing w:after="150"/>
      </w:pPr>
      <w:r>
        <w:rPr/>
        <w:t xml:space="preserve">5.2 量子网关</w:t>
      </w:r>
    </w:p>
    <w:p>
      <w:pPr>
        <w:spacing w:after="150"/>
      </w:pPr>
      <w:r>
        <w:rPr/>
        <w:t xml:space="preserve">5.2.1 基本概念</w:t>
      </w:r>
    </w:p>
    <w:p>
      <w:pPr>
        <w:spacing w:after="150"/>
      </w:pPr>
      <w:r>
        <w:rPr/>
        <w:t xml:space="preserve">5.2.2 主要功能</w:t>
      </w:r>
    </w:p>
    <w:p>
      <w:pPr>
        <w:spacing w:after="150"/>
      </w:pPr>
      <w:r>
        <w:rPr/>
        <w:t xml:space="preserve">5.2.3 设备分类</w:t>
      </w:r>
    </w:p>
    <w:p>
      <w:pPr>
        <w:spacing w:after="150"/>
      </w:pPr>
      <w:r>
        <w:rPr/>
        <w:t xml:space="preserve">5.3 光量子交换机</w:t>
      </w:r>
    </w:p>
    <w:p>
      <w:pPr>
        <w:spacing w:after="150"/>
      </w:pPr>
      <w:r>
        <w:rPr/>
        <w:t xml:space="preserve">5.3.1 基本概念</w:t>
      </w:r>
    </w:p>
    <w:p>
      <w:pPr>
        <w:spacing w:after="150"/>
      </w:pPr>
      <w:r>
        <w:rPr/>
        <w:t xml:space="preserve">5.3.2 主要功能</w:t>
      </w:r>
    </w:p>
    <w:p>
      <w:pPr>
        <w:spacing w:after="150"/>
      </w:pPr>
      <w:r>
        <w:rPr/>
        <w:t xml:space="preserve">5.3.3 设备分类</w:t>
      </w:r>
    </w:p>
    <w:p>
      <w:pPr>
        <w:spacing w:after="150"/>
      </w:pPr>
      <w:r>
        <w:rPr/>
        <w:t xml:space="preserve">5.4 其他量子通信设备</w:t>
      </w:r>
    </w:p>
    <w:p>
      <w:pPr>
        <w:spacing w:after="150"/>
      </w:pPr>
      <w:r>
        <w:rPr/>
        <w:t xml:space="preserve">5.4.1 量子集控机</w:t>
      </w:r>
    </w:p>
    <w:p>
      <w:pPr>
        <w:spacing w:after="150"/>
      </w:pPr>
      <w:r>
        <w:rPr/>
        <w:t xml:space="preserve">5.4.2 量子路由器</w:t>
      </w:r>
    </w:p>
    <w:p>
      <w:pPr>
        <w:spacing w:after="150"/>
      </w:pPr>
      <w:r>
        <w:rPr/>
        <w:t xml:space="preserve">5.4.3 量子信号接收机</w:t>
      </w:r>
    </w:p>
    <w:p>
      <w:pPr>
        <w:spacing w:after="150"/>
      </w:pPr>
      <w:r>
        <w:rPr/>
        <w:t xml:space="preserve">5.4.4 小型纠缠源系统</w:t>
      </w:r>
    </w:p>
    <w:p>
      <w:pPr>
        <w:spacing w:after="150"/>
      </w:pPr>
      <w:r>
        <w:rPr/>
        <w:t xml:space="preserve">5.4.5 光复用器和解复用器</w:t>
      </w:r>
    </w:p>
    <w:p>
      <w:pPr>
        <w:spacing w:after="150"/>
      </w:pPr>
      <w:r>
        <w:rPr>
          <w:b w:val="1"/>
          <w:bCs w:val="1"/>
        </w:rPr>
        <w:t xml:space="preserve">第六章 2019-2023年量子通信应用领域分析</w:t>
      </w:r>
    </w:p>
    <w:p>
      <w:pPr>
        <w:spacing w:after="150"/>
      </w:pPr>
      <w:r>
        <w:rPr/>
        <w:t xml:space="preserve">6.1 信息安全应用</w:t>
      </w:r>
    </w:p>
    <w:p>
      <w:pPr>
        <w:spacing w:after="150"/>
      </w:pPr>
      <w:r>
        <w:rPr/>
        <w:t xml:space="preserve">6.1.1 应用机会分析</w:t>
      </w:r>
    </w:p>
    <w:p>
      <w:pPr>
        <w:spacing w:after="150"/>
      </w:pPr>
      <w:r>
        <w:rPr/>
        <w:t xml:space="preserve">6.1.2 国防军事应用</w:t>
      </w:r>
    </w:p>
    <w:p>
      <w:pPr>
        <w:spacing w:after="150"/>
      </w:pPr>
      <w:r>
        <w:rPr/>
        <w:t xml:space="preserve">6.1.3 国民经济应用</w:t>
      </w:r>
    </w:p>
    <w:p>
      <w:pPr>
        <w:spacing w:after="150"/>
      </w:pPr>
      <w:r>
        <w:rPr/>
        <w:t xml:space="preserve">6.1.4 密码业应用</w:t>
      </w:r>
    </w:p>
    <w:p>
      <w:pPr>
        <w:spacing w:after="150"/>
      </w:pPr>
      <w:r>
        <w:rPr/>
        <w:t xml:space="preserve">6.2 金融业应用</w:t>
      </w:r>
    </w:p>
    <w:p>
      <w:pPr>
        <w:spacing w:after="150"/>
      </w:pPr>
      <w:r>
        <w:rPr/>
        <w:t xml:space="preserve">6.2.1 验证网开通</w:t>
      </w:r>
    </w:p>
    <w:p>
      <w:pPr>
        <w:spacing w:after="150"/>
      </w:pPr>
      <w:r>
        <w:rPr/>
        <w:t xml:space="preserve">6.2.2 示范系统建设</w:t>
      </w:r>
    </w:p>
    <w:p>
      <w:pPr>
        <w:spacing w:after="150"/>
      </w:pPr>
      <w:r>
        <w:rPr/>
        <w:t xml:space="preserve">6.2.3 银行信息传输</w:t>
      </w:r>
    </w:p>
    <w:p>
      <w:pPr>
        <w:spacing w:after="150"/>
      </w:pPr>
      <w:r>
        <w:rPr>
          <w:b w:val="1"/>
          <w:bCs w:val="1"/>
        </w:rPr>
        <w:t xml:space="preserve">第七章 2019-2023年中国量子通信重点企业经营状况分析</w:t>
      </w:r>
    </w:p>
    <w:p>
      <w:pPr>
        <w:spacing w:after="150"/>
      </w:pPr>
      <w:r>
        <w:rPr/>
        <w:t xml:space="preserve">7.1 科大国盾量子技术股份有限公司</w:t>
      </w:r>
    </w:p>
    <w:p>
      <w:pPr>
        <w:spacing w:after="150"/>
      </w:pPr>
      <w:r>
        <w:rPr/>
        <w:t xml:space="preserve">7.1.1 企业发展概况</w:t>
      </w:r>
    </w:p>
    <w:p>
      <w:pPr>
        <w:spacing w:after="150"/>
      </w:pPr>
      <w:r>
        <w:rPr/>
        <w:t xml:space="preserve">7.1.2 企业解决方案</w:t>
      </w:r>
    </w:p>
    <w:p>
      <w:pPr>
        <w:spacing w:after="150"/>
      </w:pPr>
      <w:r>
        <w:rPr/>
        <w:t xml:space="preserve">7.1.3 企业核心产品</w:t>
      </w:r>
    </w:p>
    <w:p>
      <w:pPr>
        <w:spacing w:after="150"/>
      </w:pPr>
      <w:r>
        <w:rPr/>
        <w:t xml:space="preserve">7.1.4 专利登录欧美</w:t>
      </w:r>
    </w:p>
    <w:p>
      <w:pPr>
        <w:spacing w:after="150"/>
      </w:pPr>
      <w:r>
        <w:rPr/>
        <w:t xml:space="preserve">7.1.5 企业战略合作</w:t>
      </w:r>
    </w:p>
    <w:p>
      <w:pPr>
        <w:spacing w:after="150"/>
      </w:pPr>
      <w:r>
        <w:rPr/>
        <w:t xml:space="preserve">7.2 安徽问天量子科技有限公司</w:t>
      </w:r>
    </w:p>
    <w:p>
      <w:pPr>
        <w:spacing w:after="150"/>
      </w:pPr>
      <w:r>
        <w:rPr/>
        <w:t xml:space="preserve">7.2.1 企业发展概况</w:t>
      </w:r>
    </w:p>
    <w:p>
      <w:pPr>
        <w:spacing w:after="150"/>
      </w:pPr>
      <w:r>
        <w:rPr/>
        <w:t xml:space="preserve">7.2.2 企业主要产品</w:t>
      </w:r>
    </w:p>
    <w:p>
      <w:pPr>
        <w:spacing w:after="150"/>
      </w:pPr>
      <w:r>
        <w:rPr/>
        <w:t xml:space="preserve">7.2.3 芜湖量子政务网</w:t>
      </w:r>
    </w:p>
    <w:p>
      <w:pPr>
        <w:spacing w:after="150"/>
      </w:pPr>
      <w:r>
        <w:rPr/>
        <w:t xml:space="preserve">7.2.4 企业战略合作</w:t>
      </w:r>
    </w:p>
    <w:p>
      <w:pPr>
        <w:spacing w:after="150"/>
      </w:pPr>
      <w:r>
        <w:rPr/>
        <w:t xml:space="preserve">7.3 桐乡九州量子通信股份有限公司(原都飞通信)</w:t>
      </w:r>
    </w:p>
    <w:p>
      <w:pPr>
        <w:spacing w:after="150"/>
      </w:pPr>
      <w:r>
        <w:rPr/>
        <w:t xml:space="preserve">7.3.1 企业发展概况</w:t>
      </w:r>
    </w:p>
    <w:p>
      <w:pPr>
        <w:spacing w:after="150"/>
      </w:pPr>
      <w:r>
        <w:rPr/>
        <w:t xml:space="preserve">7.3.2 企业经营状况</w:t>
      </w:r>
    </w:p>
    <w:p>
      <w:pPr>
        <w:spacing w:after="150"/>
      </w:pPr>
      <w:r>
        <w:rPr/>
        <w:t xml:space="preserve">7.3.3 企业战略合作</w:t>
      </w:r>
    </w:p>
    <w:p>
      <w:pPr>
        <w:spacing w:after="150"/>
      </w:pPr>
      <w:r>
        <w:rPr/>
        <w:t xml:space="preserve">7.3.4 成立联合实验室</w:t>
      </w:r>
    </w:p>
    <w:p>
      <w:pPr>
        <w:spacing w:after="150"/>
      </w:pPr>
      <w:r>
        <w:rPr/>
        <w:t xml:space="preserve">7.4 神州数码信息服务股份有限公司</w:t>
      </w:r>
    </w:p>
    <w:p>
      <w:pPr>
        <w:spacing w:after="150"/>
      </w:pPr>
      <w:r>
        <w:rPr/>
        <w:t xml:space="preserve">7.4.1 企业发展概况</w:t>
      </w:r>
    </w:p>
    <w:p>
      <w:pPr>
        <w:spacing w:after="150"/>
      </w:pPr>
      <w:r>
        <w:rPr/>
        <w:t xml:space="preserve">7.4.2 经营效益分析</w:t>
      </w:r>
    </w:p>
    <w:p>
      <w:pPr>
        <w:spacing w:after="150"/>
      </w:pPr>
      <w:r>
        <w:rPr/>
        <w:t xml:space="preserve">7.4.3 业务经营分析</w:t>
      </w:r>
    </w:p>
    <w:p>
      <w:pPr>
        <w:spacing w:after="150"/>
      </w:pPr>
      <w:r>
        <w:rPr/>
        <w:t xml:space="preserve">7.4.4 财务状况分析</w:t>
      </w:r>
    </w:p>
    <w:p>
      <w:pPr>
        <w:spacing w:after="150"/>
      </w:pPr>
      <w:r>
        <w:rPr/>
        <w:t xml:space="preserve">7.4.5 中标京沪干线</w:t>
      </w:r>
    </w:p>
    <w:p>
      <w:pPr>
        <w:spacing w:after="150"/>
      </w:pPr>
      <w:r>
        <w:rPr/>
        <w:t xml:space="preserve">7.4.6 未来前景展望</w:t>
      </w:r>
    </w:p>
    <w:p>
      <w:pPr>
        <w:spacing w:after="150"/>
      </w:pPr>
      <w:r>
        <w:rPr/>
        <w:t xml:space="preserve">7.5 浙江东方集团股份有限公司</w:t>
      </w:r>
    </w:p>
    <w:p>
      <w:pPr>
        <w:spacing w:after="150"/>
      </w:pPr>
      <w:r>
        <w:rPr/>
        <w:t xml:space="preserve">7.5.1 企业发展概况</w:t>
      </w:r>
    </w:p>
    <w:p>
      <w:pPr>
        <w:spacing w:after="150"/>
      </w:pPr>
      <w:r>
        <w:rPr/>
        <w:t xml:space="preserve">7.5.2 经营效益分析</w:t>
      </w:r>
    </w:p>
    <w:p>
      <w:pPr>
        <w:spacing w:after="150"/>
      </w:pPr>
      <w:r>
        <w:rPr/>
        <w:t xml:space="preserve">7.5.3 业务经营分析</w:t>
      </w:r>
    </w:p>
    <w:p>
      <w:pPr>
        <w:spacing w:after="150"/>
      </w:pPr>
      <w:r>
        <w:rPr/>
        <w:t xml:space="preserve">7.5.4 财务状况分析</w:t>
      </w:r>
    </w:p>
    <w:p>
      <w:pPr>
        <w:spacing w:after="150"/>
      </w:pPr>
      <w:r>
        <w:rPr/>
        <w:t xml:space="preserve">7.5.5 量子通信发展</w:t>
      </w:r>
    </w:p>
    <w:p>
      <w:pPr>
        <w:spacing w:after="150"/>
      </w:pPr>
      <w:r>
        <w:rPr/>
        <w:t xml:space="preserve">7.5.6 未来前景展望</w:t>
      </w:r>
    </w:p>
    <w:p>
      <w:pPr>
        <w:spacing w:after="150"/>
      </w:pPr>
      <w:r>
        <w:rPr/>
        <w:t xml:space="preserve">7.6 华工科技产业股份有限公司</w:t>
      </w:r>
    </w:p>
    <w:p>
      <w:pPr>
        <w:spacing w:after="150"/>
      </w:pPr>
      <w:r>
        <w:rPr/>
        <w:t xml:space="preserve">7.6.1 企业发展概况</w:t>
      </w:r>
    </w:p>
    <w:p>
      <w:pPr>
        <w:spacing w:after="150"/>
      </w:pPr>
      <w:r>
        <w:rPr/>
        <w:t xml:space="preserve">7.6.2 经营效益分析</w:t>
      </w:r>
    </w:p>
    <w:p>
      <w:pPr>
        <w:spacing w:after="150"/>
      </w:pPr>
      <w:r>
        <w:rPr/>
        <w:t xml:space="preserve">7.6.3 业务经营分析</w:t>
      </w:r>
    </w:p>
    <w:p>
      <w:pPr>
        <w:spacing w:after="150"/>
      </w:pPr>
      <w:r>
        <w:rPr/>
        <w:t xml:space="preserve">7.6.4 财务状况分析</w:t>
      </w:r>
    </w:p>
    <w:p>
      <w:pPr>
        <w:spacing w:after="150"/>
      </w:pPr>
      <w:r>
        <w:rPr/>
        <w:t xml:space="preserve">7.6.5 量子通信业务</w:t>
      </w:r>
    </w:p>
    <w:p>
      <w:pPr>
        <w:spacing w:after="150"/>
      </w:pPr>
      <w:r>
        <w:rPr/>
        <w:t xml:space="preserve">7.6.6 未来前景展望</w:t>
      </w:r>
    </w:p>
    <w:p>
      <w:pPr>
        <w:spacing w:after="150"/>
      </w:pPr>
      <w:r>
        <w:rPr>
          <w:b w:val="1"/>
          <w:bCs w:val="1"/>
        </w:rPr>
        <w:t xml:space="preserve">第八章 量子通信行业投资潜力及风险预警</w:t>
      </w:r>
    </w:p>
    <w:p>
      <w:pPr>
        <w:spacing w:after="150"/>
      </w:pPr>
      <w:r>
        <w:rPr/>
        <w:t xml:space="preserve">8.1 量子通信行业投资机会分析</w:t>
      </w:r>
    </w:p>
    <w:p>
      <w:pPr>
        <w:spacing w:after="150"/>
      </w:pPr>
      <w:r>
        <w:rPr/>
        <w:t xml:space="preserve">8.1.1 产业链投资机会</w:t>
      </w:r>
    </w:p>
    <w:p>
      <w:pPr>
        <w:spacing w:after="150"/>
      </w:pPr>
      <w:r>
        <w:rPr/>
        <w:t xml:space="preserve">8.1.2 加密产品投资机会</w:t>
      </w:r>
    </w:p>
    <w:p>
      <w:pPr>
        <w:spacing w:after="150"/>
      </w:pPr>
      <w:r>
        <w:rPr/>
        <w:t xml:space="preserve">8.1.3 光电器件投资机会</w:t>
      </w:r>
    </w:p>
    <w:p>
      <w:pPr>
        <w:spacing w:after="150"/>
      </w:pPr>
      <w:r>
        <w:rPr/>
        <w:t xml:space="preserve">8.1.4 网络建设运营机会</w:t>
      </w:r>
    </w:p>
    <w:p>
      <w:pPr>
        <w:spacing w:after="150"/>
      </w:pPr>
      <w:r>
        <w:rPr/>
        <w:t xml:space="preserve">8.2 量子通信行业投资风险预警</w:t>
      </w:r>
    </w:p>
    <w:p>
      <w:pPr>
        <w:spacing w:after="150"/>
      </w:pPr>
      <w:r>
        <w:rPr/>
        <w:t xml:space="preserve">8.2.1 技术风险</w:t>
      </w:r>
    </w:p>
    <w:p>
      <w:pPr>
        <w:spacing w:after="150"/>
      </w:pPr>
      <w:r>
        <w:rPr/>
        <w:t xml:space="preserve">8.2.2 市场风险</w:t>
      </w:r>
    </w:p>
    <w:p>
      <w:pPr>
        <w:spacing w:after="150"/>
      </w:pPr>
      <w:r>
        <w:rPr/>
        <w:t xml:space="preserve">8.2.3 竞争风险</w:t>
      </w:r>
    </w:p>
    <w:p>
      <w:pPr>
        <w:spacing w:after="150"/>
      </w:pPr>
      <w:r>
        <w:rPr>
          <w:b w:val="1"/>
          <w:bCs w:val="1"/>
        </w:rPr>
        <w:t xml:space="preserve">第九章 量子通信发展前景及趋势分析</w:t>
      </w:r>
    </w:p>
    <w:p>
      <w:pPr>
        <w:spacing w:after="150"/>
      </w:pPr>
      <w:r>
        <w:rPr/>
        <w:t xml:space="preserve">9.1 量子通信行业发展前景展望</w:t>
      </w:r>
    </w:p>
    <w:p>
      <w:pPr>
        <w:spacing w:after="150"/>
      </w:pPr>
      <w:r>
        <w:rPr/>
        <w:t xml:space="preserve">9.1.1 行业发展潜力</w:t>
      </w:r>
    </w:p>
    <w:p>
      <w:pPr>
        <w:spacing w:after="150"/>
      </w:pPr>
      <w:r>
        <w:rPr/>
        <w:t xml:space="preserve">9.1.2 应用市场前景</w:t>
      </w:r>
    </w:p>
    <w:p>
      <w:pPr>
        <w:spacing w:after="150"/>
      </w:pPr>
      <w:r>
        <w:rPr/>
        <w:t xml:space="preserve">9.1.3 市场规模预测</w:t>
      </w:r>
    </w:p>
    <w:p>
      <w:pPr>
        <w:spacing w:after="150"/>
      </w:pPr>
      <w:r>
        <w:rPr/>
        <w:t xml:space="preserve">9.2 量子通信行业发展趋势</w:t>
      </w:r>
    </w:p>
    <w:p>
      <w:pPr>
        <w:spacing w:after="150"/>
      </w:pPr>
      <w:r>
        <w:rPr/>
        <w:t xml:space="preserve">9.2.1 技术发展趋势</w:t>
      </w:r>
    </w:p>
    <w:p>
      <w:pPr>
        <w:spacing w:after="150"/>
      </w:pPr>
      <w:r>
        <w:rPr/>
        <w:t xml:space="preserve">9.2.2 大规模的应用</w:t>
      </w:r>
    </w:p>
    <w:p>
      <w:pPr>
        <w:spacing w:after="150"/>
      </w:pPr>
      <w:r>
        <w:rPr/>
        <w:t xml:space="preserve">9.2.3 量子卫星竞争</w:t>
      </w:r>
    </w:p>
    <w:p>
      <w:pPr>
        <w:spacing w:after="150"/>
      </w:pPr>
      <w:r>
        <w:rPr>
          <w:b w:val="1"/>
          <w:bCs w:val="1"/>
        </w:rPr>
        <w:t xml:space="preserve">图表目录</w:t>
      </w:r>
    </w:p>
    <w:p>
      <w:pPr>
        <w:spacing w:after="150"/>
      </w:pPr>
      <w:r>
        <w:rPr/>
        <w:t xml:space="preserve">图表：经典比特与量子比特的对比</w:t>
      </w:r>
    </w:p>
    <w:p>
      <w:pPr>
        <w:spacing w:after="150"/>
      </w:pPr>
      <w:r>
        <w:rPr/>
        <w:t xml:space="preserve">图表：量子信息计算的研究领域</w:t>
      </w:r>
    </w:p>
    <w:p>
      <w:pPr>
        <w:spacing w:after="150"/>
      </w:pPr>
      <w:r>
        <w:rPr/>
        <w:t xml:space="preserve">图表：量子信息传输的研究领域</w:t>
      </w:r>
    </w:p>
    <w:p>
      <w:pPr>
        <w:spacing w:after="150"/>
      </w:pPr>
      <w:r>
        <w:rPr/>
        <w:t xml:space="preserve">图表：量子通信系统的组成</w:t>
      </w:r>
    </w:p>
    <w:p>
      <w:pPr>
        <w:spacing w:after="150"/>
      </w:pPr>
      <w:r>
        <w:rPr/>
        <w:t xml:space="preserve">图表：量子通信主要形式</w:t>
      </w:r>
    </w:p>
    <w:p>
      <w:pPr>
        <w:spacing w:after="150"/>
      </w:pPr>
      <w:r>
        <w:rPr/>
        <w:t xml:space="preserve">图表：量子通信行业的主要硬件设备</w:t>
      </w:r>
    </w:p>
    <w:p>
      <w:pPr>
        <w:spacing w:after="150"/>
      </w:pPr>
      <w:r>
        <w:rPr/>
        <w:t xml:space="preserve">图表：量子通信示意图</w:t>
      </w:r>
    </w:p>
    <w:p>
      <w:pPr>
        <w:spacing w:after="150"/>
      </w:pPr>
      <w:r>
        <w:rPr/>
        <w:t xml:space="preserve">图表：量子通信工作示意图</w:t>
      </w:r>
    </w:p>
    <w:p>
      <w:pPr>
        <w:spacing w:after="150"/>
      </w:pPr>
      <w:r>
        <w:rPr/>
        <w:t xml:space="preserve">图表：量子密钥分配通信过程</w:t>
      </w:r>
    </w:p>
    <w:p>
      <w:pPr>
        <w:spacing w:after="150"/>
      </w:pPr>
      <w:r>
        <w:rPr/>
        <w:t xml:space="preserve">图表：量子信息化</w:t>
      </w:r>
    </w:p>
    <w:p>
      <w:pPr>
        <w:spacing w:after="150"/>
      </w:pPr>
      <w:r>
        <w:rPr/>
        <w:t xml:space="preserve">图表：量子信息产业受到国家层面的关注和推动</w:t>
      </w:r>
    </w:p>
    <w:p>
      <w:pPr>
        <w:spacing w:after="150"/>
      </w:pPr>
      <w:r>
        <w:rPr/>
        <w:t xml:space="preserve">图表：2019-2023年国内生产总值及增速</w:t>
      </w:r>
    </w:p>
    <w:p>
      <w:pPr>
        <w:spacing w:after="150"/>
      </w:pPr>
      <w:r>
        <w:rPr/>
        <w:t xml:space="preserve">图表：2019-2023年国内生产总值环比和同比增速比较(分季度)</w:t>
      </w:r>
    </w:p>
    <w:p>
      <w:pPr>
        <w:spacing w:after="150"/>
      </w:pPr>
      <w:r>
        <w:rPr/>
        <w:t xml:space="preserve">图表：2019-2023年规模以上工业增加值同比增速</w:t>
      </w:r>
    </w:p>
    <w:p>
      <w:pPr>
        <w:spacing w:after="150"/>
      </w:pPr>
      <w:r>
        <w:rPr/>
        <w:t xml:space="preserve">图表：2019-2023年固定资产投资(不含农户)同比增速</w:t>
      </w:r>
    </w:p>
    <w:p>
      <w:pPr>
        <w:spacing w:after="150"/>
      </w:pPr>
      <w:r>
        <w:rPr/>
        <w:t xml:space="preserve">图表：2019-2023年社会消费品零售总额分月同比增速</w:t>
      </w:r>
    </w:p>
    <w:p>
      <w:pPr>
        <w:spacing w:after="150"/>
      </w:pPr>
      <w:r>
        <w:rPr/>
        <w:t xml:space="preserve">图表：2019-2023年居民消费价格涨跌幅</w:t>
      </w:r>
    </w:p>
    <w:p>
      <w:pPr>
        <w:spacing w:after="150"/>
      </w:pPr>
      <w:r>
        <w:rPr/>
        <w:t xml:space="preserve">图表：2019-2023年工业生产者出厂价格涨跌情况</w:t>
      </w:r>
    </w:p>
    <w:p>
      <w:pPr>
        <w:spacing w:after="150"/>
      </w:pPr>
      <w:r>
        <w:rPr/>
        <w:t xml:space="preserve">图表：2019-2023年规模以上工业增加值同比增速(月度同比)</w:t>
      </w:r>
    </w:p>
    <w:p>
      <w:pPr>
        <w:spacing w:after="150"/>
      </w:pPr>
      <w:r>
        <w:rPr/>
        <w:t xml:space="preserve">图表：2019-2023年固定资产投资(不含农户)同比增速(累计同比)</w:t>
      </w:r>
    </w:p>
    <w:p>
      <w:pPr>
        <w:spacing w:after="150"/>
      </w:pPr>
      <w:r>
        <w:rPr/>
        <w:t xml:space="preserve">图表：2019-2023年房地产开发投资增速(累计同比)</w:t>
      </w:r>
    </w:p>
    <w:p>
      <w:pPr>
        <w:spacing w:after="150"/>
      </w:pPr>
      <w:r>
        <w:rPr/>
        <w:t xml:space="preserve">图表：2019-2023年社会消费品零售总额名义增速(月度同比)</w:t>
      </w:r>
    </w:p>
    <w:p>
      <w:pPr>
        <w:spacing w:after="150"/>
      </w:pPr>
      <w:r>
        <w:rPr/>
        <w:t xml:space="preserve">图表：2019-2023年居民消费价格涨跌幅(月度同比)</w:t>
      </w:r>
    </w:p>
    <w:p>
      <w:pPr>
        <w:spacing w:after="150"/>
      </w:pPr>
      <w:r>
        <w:rPr/>
        <w:t xml:space="preserve">图表：2019-2023年工业生产者出厂价格涨跌情况(月度同比)</w:t>
      </w:r>
    </w:p>
    <w:p>
      <w:pPr>
        <w:spacing w:after="150"/>
      </w:pPr>
      <w:r>
        <w:rPr/>
        <w:t xml:space="preserve">图表：2019-2023年各月累计主营业务收入与利润总额同比增速</w:t>
      </w:r>
    </w:p>
    <w:p>
      <w:pPr>
        <w:spacing w:after="150"/>
      </w:pPr>
      <w:r>
        <w:rPr/>
        <w:t xml:space="preserve">图表：2019-2023年各月累计利润率与每百元主营业务收入中的成本</w:t>
      </w:r>
    </w:p>
    <w:p>
      <w:pPr>
        <w:spacing w:after="150"/>
      </w:pPr>
      <w:r>
        <w:rPr/>
        <w:t xml:space="preserve">图表：2019-2023年分经济类型主营业务收入与利润总额同比增速</w:t>
      </w:r>
    </w:p>
    <w:p>
      <w:pPr>
        <w:spacing w:after="150"/>
      </w:pPr>
      <w:r>
        <w:rPr/>
        <w:t xml:space="preserve">图表：2019-2023年规模以上工业企业主要财务指标</w:t>
      </w:r>
    </w:p>
    <w:p>
      <w:pPr>
        <w:spacing w:after="150"/>
      </w:pPr>
      <w:r>
        <w:rPr/>
        <w:t xml:space="preserve">图表：2019-2023年规模以上工业企业经济效益指标</w:t>
      </w:r>
    </w:p>
    <w:p>
      <w:pPr>
        <w:spacing w:after="150"/>
      </w:pPr>
      <w:r>
        <w:rPr/>
        <w:t xml:space="preserve">图表：2019-2023年规模以上工业企业主要财务指标(分行业)</w:t>
      </w:r>
    </w:p>
    <w:p>
      <w:pPr>
        <w:spacing w:after="150"/>
      </w:pPr>
      <w:r>
        <w:rPr/>
        <w:t xml:space="preserve">图表：2019-2023年各月累计主营业务收入与利润总额同比增速</w:t>
      </w:r>
    </w:p>
    <w:p>
      <w:pPr>
        <w:spacing w:after="150"/>
      </w:pPr>
      <w:r>
        <w:rPr/>
        <w:t xml:space="preserve">图表：2019-2023年各月累计利润率与每百元主营业务收入中的成本</w:t>
      </w:r>
    </w:p>
    <w:p>
      <w:pPr>
        <w:spacing w:after="150"/>
      </w:pPr>
      <w:r>
        <w:rPr/>
        <w:t xml:space="preserve">图表：2019-2023年分经济类型主营业务收入与利润总额同比增速</w:t>
      </w:r>
    </w:p>
    <w:p>
      <w:pPr>
        <w:spacing w:after="150"/>
      </w:pPr>
      <w:r>
        <w:rPr/>
        <w:t xml:space="preserve">图表：2019-2023年规模以上工业企业主要财务指标</w:t>
      </w:r>
    </w:p>
    <w:p>
      <w:pPr>
        <w:spacing w:after="150"/>
      </w:pPr>
      <w:r>
        <w:rPr/>
        <w:t xml:space="preserve">图表：2019-2023年规模以上工业企业经济效益指标</w:t>
      </w:r>
    </w:p>
    <w:p>
      <w:pPr>
        <w:spacing w:after="150"/>
      </w:pPr>
      <w:r>
        <w:rPr/>
        <w:t xml:space="preserve">图表：2019-2023年规模以上工业企业主要财务指标(分行业)</w:t>
      </w:r>
    </w:p>
    <w:p>
      <w:pPr>
        <w:spacing w:after="150"/>
      </w:pPr>
      <w:r>
        <w:rPr/>
        <w:t xml:space="preserve">图表：2019-2023年电信业务总量发展情况</w:t>
      </w:r>
    </w:p>
    <w:p>
      <w:pPr>
        <w:spacing w:after="150"/>
      </w:pPr>
      <w:r>
        <w:rPr/>
        <w:t xml:space="preserve">图表：2019-2023年电信业务收入发展情况</w:t>
      </w:r>
    </w:p>
    <w:p>
      <w:pPr>
        <w:spacing w:after="150"/>
      </w:pPr>
      <w:r>
        <w:rPr/>
        <w:t xml:space="preserve">图表：2019-2023年移动宽带用户当月净增数和总数占比情况</w:t>
      </w:r>
    </w:p>
    <w:p>
      <w:pPr>
        <w:spacing w:after="150"/>
      </w:pPr>
      <w:r>
        <w:rPr/>
        <w:t xml:space="preserve">图表：2019-2023年手机上网用户和对移动电话用户渗透率情况</w:t>
      </w:r>
    </w:p>
    <w:p>
      <w:pPr>
        <w:spacing w:after="150"/>
      </w:pPr>
      <w:r>
        <w:rPr/>
        <w:t xml:space="preserve">图表：2019-2023年移动电话通话量和移动电话用户同比增长比较</w:t>
      </w:r>
    </w:p>
    <w:p>
      <w:pPr>
        <w:spacing w:after="150"/>
      </w:pPr>
      <w:r>
        <w:rPr/>
        <w:t xml:space="preserve">图表：2019-2023年移动短信业务量和移动短信收入同比增长情况</w:t>
      </w:r>
    </w:p>
    <w:p>
      <w:pPr>
        <w:spacing w:after="150"/>
      </w:pPr>
      <w:r>
        <w:rPr/>
        <w:t xml:space="preserve">图表：2019-2023年移动互联网接入流量和户均流量比较</w:t>
      </w:r>
    </w:p>
    <w:p>
      <w:pPr>
        <w:spacing w:after="150"/>
      </w:pPr>
      <w:r>
        <w:rPr/>
        <w:t xml:space="preserve">图表：2019-2023年电信业务收入结构占比情况(固定和移动)</w:t>
      </w:r>
    </w:p>
    <w:p>
      <w:pPr>
        <w:spacing w:after="150"/>
      </w:pPr>
      <w:r>
        <w:rPr/>
        <w:t xml:space="preserve">图表：QKD协议及技术成熟度</w:t>
      </w:r>
    </w:p>
    <w:p>
      <w:pPr>
        <w:spacing w:after="150"/>
      </w:pPr>
      <w:r>
        <w:rPr/>
        <w:t xml:space="preserve">图表：国际巨头参与量子计算机进展情况</w:t>
      </w:r>
    </w:p>
    <w:p>
      <w:pPr>
        <w:spacing w:after="150"/>
      </w:pPr>
      <w:r>
        <w:rPr/>
        <w:t xml:space="preserve">图表：国外量子通信相关公司及产品</w:t>
      </w:r>
    </w:p>
    <w:p>
      <w:pPr>
        <w:spacing w:after="150"/>
      </w:pPr>
      <w:r>
        <w:rPr/>
        <w:t xml:space="preserve">图表：美国空间量子通信系统</w:t>
      </w:r>
    </w:p>
    <w:p>
      <w:pPr>
        <w:spacing w:after="150"/>
      </w:pPr>
      <w:r>
        <w:rPr/>
        <w:t xml:space="preserve">图表：美国DARPA量子密钥分配网络结构</w:t>
      </w:r>
    </w:p>
    <w:p>
      <w:pPr>
        <w:spacing w:after="150"/>
      </w:pPr>
      <w:r>
        <w:rPr/>
        <w:t xml:space="preserve">图表：美国DARPA量子密钥分配网络中光纤节点分布</w:t>
      </w:r>
    </w:p>
    <w:p>
      <w:pPr>
        <w:spacing w:after="150"/>
      </w:pPr>
      <w:r>
        <w:rPr/>
        <w:t xml:space="preserve">图表：美国NIST三节点量子保密通信网络结构</w:t>
      </w:r>
    </w:p>
    <w:p>
      <w:pPr>
        <w:spacing w:after="150"/>
      </w:pPr>
      <w:r>
        <w:rPr/>
        <w:t xml:space="preserve">图表：美国LANL量子网络测试结构</w:t>
      </w:r>
    </w:p>
    <w:p>
      <w:pPr>
        <w:spacing w:after="150"/>
      </w:pPr>
      <w:r>
        <w:rPr/>
        <w:t xml:space="preserve">图表：美国量子通信网络部署情况</w:t>
      </w:r>
    </w:p>
    <w:p>
      <w:pPr>
        <w:spacing w:after="150"/>
      </w:pPr>
      <w:r>
        <w:rPr/>
        <w:t xml:space="preserve">图表：欧洲空间量子通信系统</w:t>
      </w:r>
    </w:p>
    <w:p>
      <w:pPr>
        <w:spacing w:after="150"/>
      </w:pPr>
      <w:r>
        <w:rPr/>
        <w:t xml:space="preserve">图表：瑞士量子网络布线结构</w:t>
      </w:r>
    </w:p>
    <w:p>
      <w:pPr>
        <w:spacing w:after="150"/>
      </w:pPr>
      <w:r>
        <w:rPr/>
        <w:t xml:space="preserve">图表：东京量子密钥分配网络节点地理分布及链路协议</w:t>
      </w:r>
    </w:p>
    <w:p>
      <w:pPr>
        <w:spacing w:after="150"/>
      </w:pPr>
      <w:r>
        <w:rPr/>
        <w:t xml:space="preserve">图表：历来方式与世间反转方式量子通信系统</w:t>
      </w:r>
    </w:p>
    <w:p>
      <w:pPr>
        <w:spacing w:after="150"/>
      </w:pPr>
      <w:r>
        <w:rPr/>
        <w:t xml:space="preserve">图表：“量子纠缠”生成及光子进行长距离量子通信示意图</w:t>
      </w:r>
    </w:p>
    <w:p>
      <w:pPr>
        <w:spacing w:after="150"/>
      </w:pPr>
      <w:r>
        <w:rPr/>
        <w:t xml:space="preserve">图表：全光量子系统</w:t>
      </w:r>
    </w:p>
    <w:p>
      <w:pPr>
        <w:spacing w:after="150"/>
      </w:pPr>
      <w:r>
        <w:rPr/>
        <w:t xml:space="preserve">图表：中国量子通信发展与成就</w:t>
      </w:r>
    </w:p>
    <w:p>
      <w:pPr>
        <w:spacing w:after="150"/>
      </w:pPr>
      <w:r>
        <w:rPr/>
        <w:t xml:space="preserve">图表：潘建伟团队发展成就</w:t>
      </w:r>
    </w:p>
    <w:p>
      <w:pPr>
        <w:spacing w:after="150"/>
      </w:pPr>
      <w:r>
        <w:rPr/>
        <w:t xml:space="preserve">图表：量子中继通信网络</w:t>
      </w:r>
    </w:p>
    <w:p>
      <w:pPr>
        <w:spacing w:after="150"/>
      </w:pPr>
      <w:r>
        <w:rPr/>
        <w:t xml:space="preserve">图表：广域量子通信网络</w:t>
      </w:r>
    </w:p>
    <w:p>
      <w:pPr>
        <w:spacing w:after="150"/>
      </w:pPr>
      <w:r>
        <w:rPr/>
        <w:t xml:space="preserve">图表：量子通信干线规划图</w:t>
      </w:r>
    </w:p>
    <w:p>
      <w:pPr>
        <w:spacing w:after="150"/>
      </w:pPr>
      <w:r>
        <w:rPr/>
        <w:t xml:space="preserve">图表：京沪干线示意图</w:t>
      </w:r>
    </w:p>
    <w:p>
      <w:pPr>
        <w:spacing w:after="150"/>
      </w:pPr>
      <w:r>
        <w:rPr/>
        <w:t xml:space="preserve">图表：量子密钥分配终端</w:t>
      </w:r>
    </w:p>
    <w:p>
      <w:pPr>
        <w:spacing w:after="150"/>
      </w:pPr>
      <w:r>
        <w:rPr/>
        <w:t xml:space="preserve">图表：16通道多波长激光器</w:t>
      </w:r>
    </w:p>
    <w:p>
      <w:pPr>
        <w:spacing w:after="150"/>
      </w:pPr>
      <w:r>
        <w:rPr/>
        <w:t xml:space="preserve">图表：红外单光子探测器</w:t>
      </w:r>
    </w:p>
    <w:p>
      <w:pPr>
        <w:spacing w:after="150"/>
      </w:pPr>
      <w:r>
        <w:rPr/>
        <w:t xml:space="preserve">图表：国盾量子40M量子网关</w:t>
      </w:r>
    </w:p>
    <w:p>
      <w:pPr>
        <w:spacing w:after="150"/>
      </w:pPr>
      <w:r>
        <w:rPr/>
        <w:t xml:space="preserve">图表：问天量子的千兆量子安全网关</w:t>
      </w:r>
    </w:p>
    <w:p>
      <w:pPr>
        <w:spacing w:after="150"/>
      </w:pPr>
      <w:r>
        <w:rPr/>
        <w:t xml:space="preserve">图表：国盾量子全通型光量子交换机</w:t>
      </w:r>
    </w:p>
    <w:p>
      <w:pPr>
        <w:spacing w:after="150"/>
      </w:pPr>
      <w:r>
        <w:rPr/>
        <w:t xml:space="preserve">图表：国盾量子矩阵型光量子交换机</w:t>
      </w:r>
    </w:p>
    <w:p>
      <w:pPr>
        <w:spacing w:after="150"/>
      </w:pPr>
      <w:r>
        <w:rPr/>
        <w:t xml:space="preserve">图表：国盾量子网络站控设备</w:t>
      </w:r>
    </w:p>
    <w:p>
      <w:pPr>
        <w:spacing w:after="150"/>
      </w:pPr>
      <w:r>
        <w:rPr/>
        <w:t xml:space="preserve">图表：国盾量子信号接收机</w:t>
      </w:r>
    </w:p>
    <w:p>
      <w:pPr>
        <w:spacing w:after="150"/>
      </w:pPr>
      <w:r>
        <w:rPr/>
        <w:t xml:space="preserve">图表：BBO小型纠缠源系统</w:t>
      </w:r>
    </w:p>
    <w:p>
      <w:pPr>
        <w:spacing w:after="150"/>
      </w:pPr>
      <w:r>
        <w:rPr/>
        <w:t xml:space="preserve">图表：量子通信在信息安全方面的应用机会</w:t>
      </w:r>
    </w:p>
    <w:p>
      <w:pPr>
        <w:spacing w:after="150"/>
      </w:pPr>
      <w:r>
        <w:rPr/>
        <w:t xml:space="preserve">图表：国盾量子的量子网络基本业务</w:t>
      </w:r>
    </w:p>
    <w:p>
      <w:pPr>
        <w:spacing w:after="150"/>
      </w:pPr>
      <w:r>
        <w:rPr/>
        <w:t xml:space="preserve">图表：国盾量子主要产品展示</w:t>
      </w:r>
    </w:p>
    <w:p>
      <w:pPr>
        <w:spacing w:after="150"/>
      </w:pPr>
      <w:r>
        <w:rPr/>
        <w:t xml:space="preserve">图表：国盾量子新产品展示</w:t>
      </w:r>
    </w:p>
    <w:p>
      <w:pPr>
        <w:spacing w:after="150"/>
      </w:pPr>
      <w:r>
        <w:rPr/>
        <w:t xml:space="preserve">图表：问天量子主要产品展示</w:t>
      </w:r>
    </w:p>
    <w:p>
      <w:pPr>
        <w:spacing w:after="150"/>
      </w:pPr>
      <w:r>
        <w:rPr/>
        <w:t xml:space="preserve">图表：2019-2023年九州量子主要会计数据和关键指标</w:t>
      </w:r>
    </w:p>
    <w:p>
      <w:pPr>
        <w:spacing w:after="150"/>
      </w:pPr>
      <w:r>
        <w:rPr/>
        <w:t xml:space="preserve">图表：2019-2023年九州量子主要会计数据和关键指标</w:t>
      </w:r>
    </w:p>
    <w:p>
      <w:pPr>
        <w:spacing w:after="150"/>
      </w:pPr>
      <w:r>
        <w:rPr/>
        <w:t xml:space="preserve">图表：2019-2023年神州数码信息服务股份有限公司总资产和净资产</w:t>
      </w:r>
    </w:p>
    <w:p>
      <w:pPr>
        <w:spacing w:after="150"/>
      </w:pPr>
      <w:r>
        <w:rPr/>
        <w:t xml:space="preserve">图表：2019-2023年神州数码信息服务股份有限公司营业收入和净利润</w:t>
      </w:r>
    </w:p>
    <w:p>
      <w:pPr>
        <w:spacing w:after="150"/>
      </w:pPr>
      <w:r>
        <w:rPr/>
        <w:t xml:space="preserve">图表：2019-2023年神州数码信息服务股份有限公司营业收入和净利润</w:t>
      </w:r>
    </w:p>
    <w:p>
      <w:pPr>
        <w:spacing w:after="150"/>
      </w:pPr>
      <w:r>
        <w:rPr/>
        <w:t xml:space="preserve">图表：2019-2023年神州数码信息服务股份有限公司现金流量</w:t>
      </w:r>
    </w:p>
    <w:p>
      <w:pPr>
        <w:spacing w:after="150"/>
      </w:pPr>
      <w:r>
        <w:rPr/>
        <w:t xml:space="preserve">图表：2019-2023年神州数码信息服务股份有限公司现金流量</w:t>
      </w:r>
    </w:p>
    <w:p>
      <w:pPr>
        <w:spacing w:after="150"/>
      </w:pPr>
      <w:r>
        <w:rPr/>
        <w:t xml:space="preserve">图表：2019-2023年神州数码信息服务股份有限公司主营业务收入分行业、产品、地区</w:t>
      </w:r>
    </w:p>
    <w:p>
      <w:pPr>
        <w:spacing w:after="150"/>
      </w:pPr>
      <w:r>
        <w:rPr/>
        <w:t xml:space="preserve">图表：2019-2023年神州数码信息服务股份有限公司成长能力</w:t>
      </w:r>
    </w:p>
    <w:p>
      <w:pPr>
        <w:spacing w:after="150"/>
      </w:pPr>
      <w:r>
        <w:rPr/>
        <w:t xml:space="preserve">图表：2019-2023年神州数码信息服务股份有限公司成长能力</w:t>
      </w:r>
    </w:p>
    <w:p>
      <w:pPr>
        <w:spacing w:after="150"/>
      </w:pPr>
      <w:r>
        <w:rPr/>
        <w:t xml:space="preserve">图表：2019-2023年神州数码信息服务股份有限公司短期偿债能力</w:t>
      </w:r>
    </w:p>
    <w:p>
      <w:pPr>
        <w:spacing w:after="150"/>
      </w:pPr>
      <w:r>
        <w:rPr/>
        <w:t xml:space="preserve">图表：2019-2023年神州数码信息服务股份有限公司短期偿债能力</w:t>
      </w:r>
    </w:p>
    <w:p>
      <w:pPr>
        <w:spacing w:after="150"/>
      </w:pPr>
      <w:r>
        <w:rPr/>
        <w:t xml:space="preserve">图表：2019-2023年神州数码信息服务股份有限公司长期偿债能力</w:t>
      </w:r>
    </w:p>
    <w:p>
      <w:pPr>
        <w:spacing w:after="150"/>
      </w:pPr>
      <w:r>
        <w:rPr/>
        <w:t xml:space="preserve">图表：2019-2023年神州数码信息服务股份有限公司长期偿债能力</w:t>
      </w:r>
    </w:p>
    <w:p>
      <w:pPr>
        <w:spacing w:after="150"/>
      </w:pPr>
      <w:r>
        <w:rPr/>
        <w:t xml:space="preserve">图表：2019-2023年神州数码信息服务股份有限公司运营能力</w:t>
      </w:r>
    </w:p>
    <w:p>
      <w:pPr>
        <w:spacing w:after="150"/>
      </w:pPr>
      <w:r>
        <w:rPr/>
        <w:t xml:space="preserve">图表：2019-2023年神州数码信息服务股份有限公司运营能力</w:t>
      </w:r>
    </w:p>
    <w:p>
      <w:pPr>
        <w:spacing w:after="150"/>
      </w:pPr>
      <w:r>
        <w:rPr/>
        <w:t xml:space="preserve">图表：2019-2023年神州数码信息服务股份有限公司盈利能力</w:t>
      </w:r>
    </w:p>
    <w:p>
      <w:pPr>
        <w:spacing w:after="150"/>
      </w:pPr>
      <w:r>
        <w:rPr/>
        <w:t xml:space="preserve">图表：2019-2023年神州数码信息服务股份有限公司盈利能力</w:t>
      </w:r>
    </w:p>
    <w:p>
      <w:pPr>
        <w:spacing w:after="150"/>
      </w:pPr>
      <w:r>
        <w:rPr/>
        <w:t xml:space="preserve">图表：2019-2023年浙江东方集团股份有限公司总资产和净资产</w:t>
      </w:r>
    </w:p>
    <w:p>
      <w:pPr>
        <w:spacing w:after="150"/>
      </w:pPr>
      <w:r>
        <w:rPr/>
        <w:t xml:space="preserve">图表：2019-2023年浙江东方集团股份有限公司营业收入和净利润</w:t>
      </w:r>
    </w:p>
    <w:p>
      <w:pPr>
        <w:spacing w:after="150"/>
      </w:pPr>
      <w:r>
        <w:rPr/>
        <w:t xml:space="preserve">图表：2019-2023年浙江东方集团股份有限公司营业收入和净利润</w:t>
      </w:r>
    </w:p>
    <w:p>
      <w:pPr>
        <w:spacing w:after="150"/>
      </w:pPr>
      <w:r>
        <w:rPr/>
        <w:t xml:space="preserve">图表：2019-2023年浙江东方集团股份有限公司现金流量</w:t>
      </w:r>
    </w:p>
    <w:p>
      <w:pPr>
        <w:spacing w:after="150"/>
      </w:pPr>
      <w:r>
        <w:rPr/>
        <w:t xml:space="preserve">图表：2019-2023年浙江东方集团股份有限公司现金流量</w:t>
      </w:r>
    </w:p>
    <w:p>
      <w:pPr>
        <w:spacing w:after="150"/>
      </w:pPr>
      <w:r>
        <w:rPr/>
        <w:t xml:space="preserve">图表：2019-2023年浙江东方集团股份有限公司主营业务收入分行业、地区</w:t>
      </w:r>
    </w:p>
    <w:p>
      <w:pPr>
        <w:spacing w:after="150"/>
      </w:pPr>
      <w:r>
        <w:rPr/>
        <w:t xml:space="preserve">图表：2019-2023年浙江东方集团股份有限公司成长能力</w:t>
      </w:r>
    </w:p>
    <w:p>
      <w:pPr>
        <w:spacing w:after="150"/>
      </w:pPr>
      <w:r>
        <w:rPr/>
        <w:t xml:space="preserve">图表：2019-2023年浙江东方集团股份有限公司成长能力</w:t>
      </w:r>
    </w:p>
    <w:p>
      <w:pPr>
        <w:spacing w:after="150"/>
      </w:pPr>
      <w:r>
        <w:rPr/>
        <w:t xml:space="preserve">图表：2019-2023年浙江东方集团股份有限公司短期偿债能力</w:t>
      </w:r>
    </w:p>
    <w:p>
      <w:pPr>
        <w:spacing w:after="150"/>
      </w:pPr>
      <w:r>
        <w:rPr/>
        <w:t xml:space="preserve">图表：2019-2023年浙江东方集团股份有限公司短期偿债能力</w:t>
      </w:r>
    </w:p>
    <w:p>
      <w:pPr>
        <w:spacing w:after="150"/>
      </w:pPr>
      <w:r>
        <w:rPr/>
        <w:t xml:space="preserve">图表：2019-2023年浙江东方集团股份有限公司长期偿债能力</w:t>
      </w:r>
    </w:p>
    <w:p>
      <w:pPr>
        <w:spacing w:after="150"/>
      </w:pPr>
      <w:r>
        <w:rPr/>
        <w:t xml:space="preserve">图表：2019-2023年浙江东方集团股份有限公司长期偿债能力</w:t>
      </w:r>
    </w:p>
    <w:p>
      <w:pPr>
        <w:spacing w:after="150"/>
      </w:pPr>
      <w:r>
        <w:rPr/>
        <w:t xml:space="preserve">图表：2019-2023年浙江东方集团股份有限公司运营能力</w:t>
      </w:r>
    </w:p>
    <w:p>
      <w:pPr>
        <w:spacing w:after="150"/>
      </w:pPr>
      <w:r>
        <w:rPr/>
        <w:t xml:space="preserve">图表：2019-2023年浙江东方集团股份有限公司运营能力</w:t>
      </w:r>
    </w:p>
    <w:p>
      <w:pPr>
        <w:spacing w:after="150"/>
      </w:pPr>
      <w:r>
        <w:rPr/>
        <w:t xml:space="preserve">图表：2019-2023年浙江东方集团股份有限公司盈利能力</w:t>
      </w:r>
    </w:p>
    <w:p>
      <w:pPr>
        <w:spacing w:after="150"/>
      </w:pPr>
      <w:r>
        <w:rPr/>
        <w:t xml:space="preserve">图表：2019-2023年浙江东方集团股份有限公司盈利能力</w:t>
      </w:r>
    </w:p>
    <w:p>
      <w:pPr>
        <w:spacing w:after="150"/>
      </w:pPr>
      <w:r>
        <w:rPr/>
        <w:t xml:space="preserve">图表：2019-2023年华工科技产业股份有限公司总资产和净资产</w:t>
      </w:r>
    </w:p>
    <w:p>
      <w:pPr>
        <w:spacing w:after="150"/>
      </w:pPr>
      <w:r>
        <w:rPr/>
        <w:t xml:space="preserve">图表：2019-2023年华工科技产业股份有限公司营业收入和净利润</w:t>
      </w:r>
    </w:p>
    <w:p>
      <w:pPr>
        <w:spacing w:after="150"/>
      </w:pPr>
      <w:r>
        <w:rPr/>
        <w:t xml:space="preserve">图表：2019-2023年华工科技产业股份有限公司营业收入和净利润</w:t>
      </w:r>
    </w:p>
    <w:p>
      <w:pPr>
        <w:spacing w:after="150"/>
      </w:pPr>
      <w:r>
        <w:rPr/>
        <w:t xml:space="preserve">图表：2019-2023年华工科技产业股份有限公司现金流量</w:t>
      </w:r>
    </w:p>
    <w:p>
      <w:pPr>
        <w:spacing w:after="150"/>
      </w:pPr>
      <w:r>
        <w:rPr/>
        <w:t xml:space="preserve">图表：2019-2023年华工科技产业股份有限公司现金流量</w:t>
      </w:r>
    </w:p>
    <w:p>
      <w:pPr>
        <w:spacing w:after="150"/>
      </w:pPr>
      <w:r>
        <w:rPr/>
        <w:t xml:space="preserve">图表：2019-2023年华工科技产业股份有限公司主营业务收入分行业、产品、地区</w:t>
      </w:r>
    </w:p>
    <w:p>
      <w:pPr>
        <w:spacing w:after="150"/>
      </w:pPr>
      <w:r>
        <w:rPr/>
        <w:t xml:space="preserve">图表：2019-2023年华工科技产业股份有限公司成长能力</w:t>
      </w:r>
    </w:p>
    <w:p>
      <w:pPr>
        <w:spacing w:after="150"/>
      </w:pPr>
      <w:r>
        <w:rPr/>
        <w:t xml:space="preserve">图表：2019-2023年华工科技产业股份有限公司成长能力</w:t>
      </w:r>
    </w:p>
    <w:p>
      <w:pPr>
        <w:spacing w:after="150"/>
      </w:pPr>
      <w:r>
        <w:rPr/>
        <w:t xml:space="preserve">图表：2019-2023年华工科技产业股份有限公司短期偿债能力</w:t>
      </w:r>
    </w:p>
    <w:p>
      <w:pPr>
        <w:spacing w:after="150"/>
      </w:pPr>
      <w:r>
        <w:rPr/>
        <w:t xml:space="preserve">图表：2019-2023年华工科技产业股份有限公司短期偿债能力</w:t>
      </w:r>
    </w:p>
    <w:p>
      <w:pPr>
        <w:spacing w:after="150"/>
      </w:pPr>
      <w:r>
        <w:rPr/>
        <w:t xml:space="preserve">图表：2019-2023年华工科技产业股份有限公司长期偿债能力</w:t>
      </w:r>
    </w:p>
    <w:p>
      <w:pPr>
        <w:spacing w:after="150"/>
      </w:pPr>
      <w:r>
        <w:rPr/>
        <w:t xml:space="preserve">图表：2019-2023年华工科技产业股份有限公司长期偿债能力</w:t>
      </w:r>
    </w:p>
    <w:p>
      <w:pPr>
        <w:spacing w:after="150"/>
      </w:pPr>
      <w:r>
        <w:rPr/>
        <w:t xml:space="preserve">图表：2019-2023年华工科技产业股份有限公司运营能力</w:t>
      </w:r>
    </w:p>
    <w:p>
      <w:pPr>
        <w:spacing w:after="150"/>
      </w:pPr>
      <w:r>
        <w:rPr/>
        <w:t xml:space="preserve">图表：2019-2023年华工科技产业股份有限公司运营能力</w:t>
      </w:r>
    </w:p>
    <w:p>
      <w:pPr>
        <w:spacing w:after="150"/>
      </w:pPr>
      <w:r>
        <w:rPr/>
        <w:t xml:space="preserve">图表：2019-2023年华工科技产业股份有限公司盈利能力</w:t>
      </w:r>
    </w:p>
    <w:p>
      <w:pPr>
        <w:spacing w:after="150"/>
      </w:pPr>
      <w:r>
        <w:rPr/>
        <w:t xml:space="preserve">图表：2019-2023年华工科技产业股份有限公司盈利能力</w:t>
      </w:r>
    </w:p>
    <w:p>
      <w:pPr>
        <w:spacing w:after="150"/>
      </w:pPr>
      <w:r>
        <w:rPr/>
        <w:t xml:space="preserve">图表：2019-2023年中国专网市场规模及预测</w:t>
      </w:r>
    </w:p>
    <w:p>
      <w:pPr>
        <w:spacing w:after="150"/>
      </w:pPr>
      <w:r>
        <w:rPr/>
        <w:t xml:space="preserve">图表：2019-2023年全球云安全市场规模及预测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本文地址：https://www.51baogao.cn/bg/20170830/90934.shtml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0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2024-2029年中国量子通信行业竞争格局分析及发展前景预测报告</dc:title>
  <dc:description>2024-2029年中国量子通信行业竞争格局分析及发展前景预测报告</dc:description>
  <dc:subject>2024-2029年中国量子通信行业竞争格局分析及发展前景预测报告</dc:subject>
  <cp:keywords>研究报告</cp:keywords>
  <cp:category>研究报告</cp:category>
  <cp:lastModifiedBy>北京中道泰和信息咨询有限公司</cp:lastModifiedBy>
  <dcterms:created xsi:type="dcterms:W3CDTF">2024-01-23T03:01:03+08:00</dcterms:created>
  <dcterms:modified xsi:type="dcterms:W3CDTF">2024-01-23T03:01:03+08:00</dcterms:modified>
</cp:coreProperties>
</file>

<file path=docProps/custom.xml><?xml version="1.0" encoding="utf-8"?>
<Properties xmlns="http://schemas.openxmlformats.org/officeDocument/2006/custom-properties" xmlns:vt="http://schemas.openxmlformats.org/officeDocument/2006/docPropsVTypes"/>
</file>