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2024-2029年中国生物类似药行业市场供需调查与投资潜力研究报告</w:t>
      </w:r>
    </w:p>
    <w:p>
      <w:pPr>
        <w:spacing w:after="150"/>
      </w:pPr>
      <w:r>
        <w:rPr>
          <w:b w:val="1"/>
          <w:bCs w:val="1"/>
        </w:rPr>
        <w:t xml:space="preserve">报告简介</w:t>
      </w:r>
    </w:p>
    <w:p>
      <w:pPr>
        <w:spacing w:after="150"/>
      </w:pPr>
      <w:r>
        <w:rPr/>
        <w:t xml:space="preserve">关于生物类似药，目前国际上并无统一标准。CFDA定义为在质量、安全性和有效性方面与已获准注册的参照药具有相似性的治疗用生物制品。质量、安全性和有效性体现了生物类似药并非普通的仿制药，需要进行与原研药一致的研发流程，具有相当高的准入门槛。</w:t>
      </w:r>
    </w:p>
    <w:p>
      <w:pPr>
        <w:spacing w:after="150"/>
      </w:pPr>
      <w:r>
        <w:rPr/>
        <w:t xml:space="preserve">由于准入的高门槛，上市后的生物类似药能保持很好的市场竞争力，生物类似药的价格一般只会有10%-30%的降幅。后期，随着多个同种生物类似药的陆续上市，市场竞争才会导致价格继续下降，但通常最多会下降50%左右。</w:t>
      </w:r>
    </w:p>
    <w:p>
      <w:pPr>
        <w:spacing w:after="150"/>
      </w:pPr>
      <w:r>
        <w:rPr/>
        <w:t xml:space="preserve">目前，全球生物类似药市场主要包括单克隆抗体、胰岛素、干扰素、粒细胞集落刺激因子(G-CSF)、促红细胞生成素(EPO)、生长激素和促卵泡激素。其中单抗和胰岛素的生物类似药市场将快速增长。预计到2021年市场规模将达到366亿美元，约占生物药市场份额的10%，市场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类似药行业市场发展状况、关联行业发展状况、行业竞争状况、优势企业发展状况、消费现状以及行业营销进行了深入的分析，在总结中国生物类似药行业发展历程的基础上，结合新时期的各方面因素，对中国生物类似药行业的发展趋势给予了细致和审慎的预测论证。本报告是生物类似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生物类似药行业基本概述</w:t>
      </w:r>
    </w:p>
    <w:p>
      <w:pPr>
        <w:spacing w:after="150"/>
      </w:pPr>
      <w:r>
        <w:rPr/>
        <w:t xml:space="preserve">1.1 生物类似药基本介绍</w:t>
      </w:r>
    </w:p>
    <w:p>
      <w:pPr>
        <w:spacing w:after="150"/>
      </w:pPr>
      <w:r>
        <w:rPr/>
        <w:t xml:space="preserve">1.1.1 生物类似药定义</w:t>
      </w:r>
    </w:p>
    <w:p>
      <w:pPr>
        <w:spacing w:after="150"/>
      </w:pPr>
      <w:r>
        <w:rPr/>
        <w:t xml:space="preserve">1.1.2 生物类似药特性</w:t>
      </w:r>
    </w:p>
    <w:p>
      <w:pPr>
        <w:spacing w:after="150"/>
      </w:pPr>
      <w:r>
        <w:rPr/>
        <w:t xml:space="preserve">1.2 相关概念解析</w:t>
      </w:r>
    </w:p>
    <w:p>
      <w:pPr>
        <w:spacing w:after="150"/>
      </w:pPr>
      <w:r>
        <w:rPr/>
        <w:t xml:space="preserve">1.2.1 生物药</w:t>
      </w:r>
    </w:p>
    <w:p>
      <w:pPr>
        <w:spacing w:after="150"/>
      </w:pPr>
      <w:r>
        <w:rPr/>
        <w:t xml:space="preserve">1.2.2 参照药</w:t>
      </w:r>
    </w:p>
    <w:p>
      <w:pPr>
        <w:spacing w:after="150"/>
      </w:pPr>
      <w:r>
        <w:rPr/>
        <w:t xml:space="preserve">1.2.3 仿制药</w:t>
      </w:r>
    </w:p>
    <w:p>
      <w:pPr>
        <w:spacing w:after="150"/>
      </w:pPr>
      <w:r>
        <w:rPr>
          <w:b w:val="1"/>
          <w:bCs w:val="1"/>
        </w:rPr>
        <w:t xml:space="preserve">第二章 2019-2023年生物类似药发展环境分析</w:t>
      </w:r>
    </w:p>
    <w:p>
      <w:pPr>
        <w:spacing w:after="150"/>
      </w:pPr>
      <w:r>
        <w:rPr/>
        <w:t xml:space="preserve">2.1 宏观经济环境</w:t>
      </w:r>
    </w:p>
    <w:p>
      <w:pPr>
        <w:spacing w:after="150"/>
      </w:pPr>
      <w:r>
        <w:rPr/>
        <w:t xml:space="preserve">2.1.1 宏观经济概况</w:t>
      </w:r>
    </w:p>
    <w:p>
      <w:pPr>
        <w:spacing w:after="150"/>
      </w:pPr>
      <w:r>
        <w:rPr/>
        <w:t xml:space="preserve">2.1.2 对外经济分析</w:t>
      </w:r>
    </w:p>
    <w:p>
      <w:pPr>
        <w:spacing w:after="150"/>
      </w:pPr>
      <w:r>
        <w:rPr/>
        <w:t xml:space="preserve">2.1.3 固定资产投资</w:t>
      </w:r>
    </w:p>
    <w:p>
      <w:pPr>
        <w:spacing w:after="150"/>
      </w:pPr>
      <w:r>
        <w:rPr/>
        <w:t xml:space="preserve">2.1.4 宏观经济展望</w:t>
      </w:r>
    </w:p>
    <w:p>
      <w:pPr>
        <w:spacing w:after="150"/>
      </w:pPr>
      <w:r>
        <w:rPr/>
        <w:t xml:space="preserve">2.2 政策环境</w:t>
      </w:r>
    </w:p>
    <w:p>
      <w:pPr>
        <w:spacing w:after="150"/>
      </w:pPr>
      <w:r>
        <w:rPr/>
        <w:t xml:space="preserve">2.2.1 药品注册管理办法</w:t>
      </w:r>
    </w:p>
    <w:p>
      <w:pPr>
        <w:spacing w:after="150"/>
      </w:pPr>
      <w:r>
        <w:rPr/>
        <w:t xml:space="preserve">2.2.2 生物类似药指导原则</w:t>
      </w:r>
    </w:p>
    <w:p>
      <w:pPr>
        <w:spacing w:after="150"/>
      </w:pPr>
      <w:r>
        <w:rPr/>
        <w:t xml:space="preserve">2.2.3 国内外指导原则对比</w:t>
      </w:r>
    </w:p>
    <w:p>
      <w:pPr>
        <w:spacing w:after="150"/>
      </w:pPr>
      <w:r>
        <w:rPr/>
        <w:t xml:space="preserve">2.2.4 生物制品通用名管理</w:t>
      </w:r>
    </w:p>
    <w:p>
      <w:pPr>
        <w:spacing w:after="150"/>
      </w:pPr>
      <w:r>
        <w:rPr/>
        <w:t xml:space="preserve">2.2.5 单品种研发要点政策</w:t>
      </w:r>
    </w:p>
    <w:p>
      <w:pPr>
        <w:spacing w:after="150"/>
      </w:pPr>
      <w:r>
        <w:rPr/>
        <w:t xml:space="preserve">2.3 社会环境</w:t>
      </w:r>
    </w:p>
    <w:p>
      <w:pPr>
        <w:spacing w:after="150"/>
      </w:pPr>
      <w:r>
        <w:rPr/>
        <w:t xml:space="preserve">2.3.1 居民收入水平</w:t>
      </w:r>
    </w:p>
    <w:p>
      <w:pPr>
        <w:spacing w:after="150"/>
      </w:pPr>
      <w:r>
        <w:rPr/>
        <w:t xml:space="preserve">2.3.2 居民消费水平</w:t>
      </w:r>
    </w:p>
    <w:p>
      <w:pPr>
        <w:spacing w:after="150"/>
      </w:pPr>
      <w:r>
        <w:rPr/>
        <w:t xml:space="preserve">2.3.3 居民社会保障</w:t>
      </w:r>
    </w:p>
    <w:p>
      <w:pPr>
        <w:spacing w:after="150"/>
      </w:pPr>
      <w:r>
        <w:rPr/>
        <w:t xml:space="preserve">2.3.4 人口老龄化问题</w:t>
      </w:r>
    </w:p>
    <w:p>
      <w:pPr>
        <w:spacing w:after="150"/>
      </w:pPr>
      <w:r>
        <w:rPr>
          <w:b w:val="1"/>
          <w:bCs w:val="1"/>
        </w:rPr>
        <w:t xml:space="preserve">第三章 2019-2023年生物制药行业发展分析</w:t>
      </w:r>
    </w:p>
    <w:p>
      <w:pPr>
        <w:spacing w:after="150"/>
      </w:pPr>
      <w:r>
        <w:rPr/>
        <w:t xml:space="preserve">3.1 世界生物医药产业发展综述</w:t>
      </w:r>
    </w:p>
    <w:p>
      <w:pPr>
        <w:spacing w:after="150"/>
      </w:pPr>
      <w:r>
        <w:rPr/>
        <w:t xml:space="preserve">3.1.1 全球产业发展格局</w:t>
      </w:r>
    </w:p>
    <w:p>
      <w:pPr>
        <w:spacing w:after="150"/>
      </w:pPr>
      <w:r>
        <w:rPr/>
        <w:t xml:space="preserve">3.1.2 欧洲产业强国分析</w:t>
      </w:r>
    </w:p>
    <w:p>
      <w:pPr>
        <w:spacing w:after="150"/>
      </w:pPr>
      <w:r>
        <w:rPr/>
        <w:t xml:space="preserve">3.1.3 重点国家市场动态</w:t>
      </w:r>
    </w:p>
    <w:p>
      <w:pPr>
        <w:spacing w:after="150"/>
      </w:pPr>
      <w:r>
        <w:rPr/>
        <w:t xml:space="preserve">3.1.4 全球产业融资动态</w:t>
      </w:r>
    </w:p>
    <w:p>
      <w:pPr>
        <w:spacing w:after="150"/>
      </w:pPr>
      <w:r>
        <w:rPr/>
        <w:t xml:space="preserve">3.2 2019-2023年全球生物药市场分析</w:t>
      </w:r>
    </w:p>
    <w:p>
      <w:pPr>
        <w:spacing w:after="150"/>
      </w:pPr>
      <w:r>
        <w:rPr/>
        <w:t xml:space="preserve">3.2.1 生物药市场规模</w:t>
      </w:r>
    </w:p>
    <w:p>
      <w:pPr>
        <w:spacing w:after="150"/>
      </w:pPr>
      <w:r>
        <w:rPr/>
        <w:t xml:space="preserve">3.2.2 生物药销售排名</w:t>
      </w:r>
    </w:p>
    <w:p>
      <w:pPr>
        <w:spacing w:after="150"/>
      </w:pPr>
      <w:r>
        <w:rPr/>
        <w:t xml:space="preserve">3.2.3 生物药研发分布</w:t>
      </w:r>
    </w:p>
    <w:p>
      <w:pPr>
        <w:spacing w:after="150"/>
      </w:pPr>
      <w:r>
        <w:rPr/>
        <w:t xml:space="preserve">3.3 2019-2023年中国生物医药产业发展分析</w:t>
      </w:r>
    </w:p>
    <w:p>
      <w:pPr>
        <w:spacing w:after="150"/>
      </w:pPr>
      <w:r>
        <w:rPr/>
        <w:t xml:space="preserve">3.3.1 产业发展特点</w:t>
      </w:r>
    </w:p>
    <w:p>
      <w:pPr>
        <w:spacing w:after="150"/>
      </w:pPr>
      <w:r>
        <w:rPr/>
        <w:t xml:space="preserve">3.3.2 行业发展规模</w:t>
      </w:r>
    </w:p>
    <w:p>
      <w:pPr>
        <w:spacing w:after="150"/>
      </w:pPr>
      <w:r>
        <w:rPr/>
        <w:t xml:space="preserve">3.3.3 市场竞争特点</w:t>
      </w:r>
    </w:p>
    <w:p>
      <w:pPr>
        <w:spacing w:after="150"/>
      </w:pPr>
      <w:r>
        <w:rPr/>
        <w:t xml:space="preserve">3.3.4 进口规模分析</w:t>
      </w:r>
    </w:p>
    <w:p>
      <w:pPr>
        <w:spacing w:after="150"/>
      </w:pPr>
      <w:r>
        <w:rPr/>
        <w:t xml:space="preserve">3.3.5 产业发展模式</w:t>
      </w:r>
    </w:p>
    <w:p>
      <w:pPr>
        <w:spacing w:after="150"/>
      </w:pPr>
      <w:r>
        <w:rPr/>
        <w:t xml:space="preserve">3.4 中国生物制药产业的前景趋势</w:t>
      </w:r>
    </w:p>
    <w:p>
      <w:pPr>
        <w:spacing w:after="150"/>
      </w:pPr>
      <w:r>
        <w:rPr/>
        <w:t xml:space="preserve">3.4.1 生物制药行业前景广阔</w:t>
      </w:r>
    </w:p>
    <w:p>
      <w:pPr>
        <w:spacing w:after="150"/>
      </w:pPr>
      <w:r>
        <w:rPr/>
        <w:t xml:space="preserve">3.4.2 生物制药技术发展趋势</w:t>
      </w:r>
    </w:p>
    <w:p>
      <w:pPr>
        <w:spacing w:after="150"/>
      </w:pPr>
      <w:r>
        <w:rPr/>
        <w:t xml:space="preserve">3.4.3 生物制药企业未来方向</w:t>
      </w:r>
    </w:p>
    <w:p>
      <w:pPr>
        <w:spacing w:after="150"/>
      </w:pPr>
      <w:r>
        <w:rPr>
          <w:b w:val="1"/>
          <w:bCs w:val="1"/>
        </w:rPr>
        <w:t xml:space="preserve">第四章 2019-2023年生物类似药行业发展分析</w:t>
      </w:r>
    </w:p>
    <w:p>
      <w:pPr>
        <w:spacing w:after="150"/>
      </w:pPr>
      <w:r>
        <w:rPr/>
        <w:t xml:space="preserve">4.1 全球生物类似药市场分析</w:t>
      </w:r>
    </w:p>
    <w:p>
      <w:pPr>
        <w:spacing w:after="150"/>
      </w:pPr>
      <w:r>
        <w:rPr/>
        <w:t xml:space="preserve">4.1.1 市场发展规模</w:t>
      </w:r>
    </w:p>
    <w:p>
      <w:pPr>
        <w:spacing w:after="150"/>
      </w:pPr>
      <w:r>
        <w:rPr/>
        <w:t xml:space="preserve">4.1.2 市场价格分析</w:t>
      </w:r>
    </w:p>
    <w:p>
      <w:pPr>
        <w:spacing w:after="150"/>
      </w:pPr>
      <w:r>
        <w:rPr/>
        <w:t xml:space="preserve">4.1.3 市场竞争情况</w:t>
      </w:r>
    </w:p>
    <w:p>
      <w:pPr>
        <w:spacing w:after="150"/>
      </w:pPr>
      <w:r>
        <w:rPr/>
        <w:t xml:space="preserve">4.1.4 市场合作分析</w:t>
      </w:r>
    </w:p>
    <w:p>
      <w:pPr>
        <w:spacing w:after="150"/>
      </w:pPr>
      <w:r>
        <w:rPr/>
        <w:t xml:space="preserve">4.1.5 行业区域分布</w:t>
      </w:r>
    </w:p>
    <w:p>
      <w:pPr>
        <w:spacing w:after="150"/>
      </w:pPr>
      <w:r>
        <w:rPr/>
        <w:t xml:space="preserve">4.1.6 研发阶段分布</w:t>
      </w:r>
    </w:p>
    <w:p>
      <w:pPr>
        <w:spacing w:after="150"/>
      </w:pPr>
      <w:r>
        <w:rPr/>
        <w:t xml:space="preserve">4.2 欧美生物类似药发展综述</w:t>
      </w:r>
    </w:p>
    <w:p>
      <w:pPr>
        <w:spacing w:after="150"/>
      </w:pPr>
      <w:r>
        <w:rPr/>
        <w:t xml:space="preserve">4.2.1 欧盟批准的生物类似药</w:t>
      </w:r>
    </w:p>
    <w:p>
      <w:pPr>
        <w:spacing w:after="150"/>
      </w:pPr>
      <w:r>
        <w:rPr/>
        <w:t xml:space="preserve">4.2.2 美国批准的生物类似药</w:t>
      </w:r>
    </w:p>
    <w:p>
      <w:pPr>
        <w:spacing w:after="150"/>
      </w:pPr>
      <w:r>
        <w:rPr/>
        <w:t xml:space="preserve">4.2.3 生物类似药企业格局</w:t>
      </w:r>
    </w:p>
    <w:p>
      <w:pPr>
        <w:spacing w:after="150"/>
      </w:pPr>
      <w:r>
        <w:rPr/>
        <w:t xml:space="preserve">4.2.4 获批生物类似药分类</w:t>
      </w:r>
    </w:p>
    <w:p>
      <w:pPr>
        <w:spacing w:after="150"/>
      </w:pPr>
      <w:r>
        <w:rPr/>
        <w:t xml:space="preserve">4.3 中国生物类似药发展综述</w:t>
      </w:r>
    </w:p>
    <w:p>
      <w:pPr>
        <w:spacing w:after="150"/>
      </w:pPr>
      <w:r>
        <w:rPr/>
        <w:t xml:space="preserve">4.3.1 市场竞争激烈</w:t>
      </w:r>
    </w:p>
    <w:p>
      <w:pPr>
        <w:spacing w:after="150"/>
      </w:pPr>
      <w:r>
        <w:rPr/>
        <w:t xml:space="preserve">4.3.2 研发阶段比较</w:t>
      </w:r>
    </w:p>
    <w:p>
      <w:pPr>
        <w:spacing w:after="150"/>
      </w:pPr>
      <w:r>
        <w:rPr/>
        <w:t xml:space="preserve">4.3.3 企业研发进度</w:t>
      </w:r>
    </w:p>
    <w:p>
      <w:pPr>
        <w:spacing w:after="150"/>
      </w:pPr>
      <w:r>
        <w:rPr/>
        <w:t xml:space="preserve">4.3.4 企业竞争优势</w:t>
      </w:r>
    </w:p>
    <w:p>
      <w:pPr>
        <w:spacing w:after="150"/>
      </w:pPr>
      <w:r>
        <w:rPr/>
        <w:t xml:space="preserve">4.4 生物类似药发展问题及对策</w:t>
      </w:r>
    </w:p>
    <w:p>
      <w:pPr>
        <w:spacing w:after="150"/>
      </w:pPr>
      <w:r>
        <w:rPr/>
        <w:t xml:space="preserve">4.4.1 行业发展问题</w:t>
      </w:r>
    </w:p>
    <w:p>
      <w:pPr>
        <w:spacing w:after="150"/>
      </w:pPr>
      <w:r>
        <w:rPr/>
        <w:t xml:space="preserve">4.4.2 定价策略问题</w:t>
      </w:r>
    </w:p>
    <w:p>
      <w:pPr>
        <w:spacing w:after="150"/>
      </w:pPr>
      <w:r>
        <w:rPr/>
        <w:t xml:space="preserve">4.4.3 国际化发展策略</w:t>
      </w:r>
    </w:p>
    <w:p>
      <w:pPr>
        <w:spacing w:after="150"/>
      </w:pPr>
      <w:r>
        <w:rPr/>
        <w:t xml:space="preserve">4.4.4 行业发展建议</w:t>
      </w:r>
    </w:p>
    <w:p>
      <w:pPr>
        <w:spacing w:after="150"/>
      </w:pPr>
      <w:r>
        <w:rPr>
          <w:b w:val="1"/>
          <w:bCs w:val="1"/>
        </w:rPr>
        <w:t xml:space="preserve">第五章 2019-2023年单抗及类似药发展分析</w:t>
      </w:r>
    </w:p>
    <w:p>
      <w:pPr>
        <w:spacing w:after="150"/>
      </w:pPr>
      <w:r>
        <w:rPr/>
        <w:t xml:space="preserve">5.1 利妥昔单抗及类似药市场分析</w:t>
      </w:r>
    </w:p>
    <w:p>
      <w:pPr>
        <w:spacing w:after="150"/>
      </w:pPr>
      <w:r>
        <w:rPr/>
        <w:t xml:space="preserve">5.1.1 行业研发情况</w:t>
      </w:r>
    </w:p>
    <w:p>
      <w:pPr>
        <w:spacing w:after="150"/>
      </w:pPr>
      <w:r>
        <w:rPr/>
        <w:t xml:space="preserve">5.1.2 市场发展规模</w:t>
      </w:r>
    </w:p>
    <w:p>
      <w:pPr>
        <w:spacing w:after="150"/>
      </w:pPr>
      <w:r>
        <w:rPr/>
        <w:t xml:space="preserve">5.1.3 中国市场分析</w:t>
      </w:r>
    </w:p>
    <w:p>
      <w:pPr>
        <w:spacing w:after="150"/>
      </w:pPr>
      <w:r>
        <w:rPr/>
        <w:t xml:space="preserve">5.2 曲妥珠单抗及类似药市场分析</w:t>
      </w:r>
    </w:p>
    <w:p>
      <w:pPr>
        <w:spacing w:after="150"/>
      </w:pPr>
      <w:r>
        <w:rPr/>
        <w:t xml:space="preserve">5.2.1 行业研发情况</w:t>
      </w:r>
    </w:p>
    <w:p>
      <w:pPr>
        <w:spacing w:after="150"/>
      </w:pPr>
      <w:r>
        <w:rPr/>
        <w:t xml:space="preserve">5.2.2 市场发展规模</w:t>
      </w:r>
    </w:p>
    <w:p>
      <w:pPr>
        <w:spacing w:after="150"/>
      </w:pPr>
      <w:r>
        <w:rPr/>
        <w:t xml:space="preserve">5.2.3 中国市场分析</w:t>
      </w:r>
    </w:p>
    <w:p>
      <w:pPr>
        <w:spacing w:after="150"/>
      </w:pPr>
      <w:r>
        <w:rPr/>
        <w:t xml:space="preserve">5.3 贝伐珠单抗及类似药市场分析</w:t>
      </w:r>
    </w:p>
    <w:p>
      <w:pPr>
        <w:spacing w:after="150"/>
      </w:pPr>
      <w:r>
        <w:rPr/>
        <w:t xml:space="preserve">5.3.1 行业研发情况</w:t>
      </w:r>
    </w:p>
    <w:p>
      <w:pPr>
        <w:spacing w:after="150"/>
      </w:pPr>
      <w:r>
        <w:rPr/>
        <w:t xml:space="preserve">5.3.2 市场发展规模</w:t>
      </w:r>
    </w:p>
    <w:p>
      <w:pPr>
        <w:spacing w:after="150"/>
      </w:pPr>
      <w:r>
        <w:rPr/>
        <w:t xml:space="preserve">5.3.3 中国市场分析</w:t>
      </w:r>
    </w:p>
    <w:p>
      <w:pPr>
        <w:spacing w:after="150"/>
      </w:pPr>
      <w:r>
        <w:rPr/>
        <w:t xml:space="preserve">5.4 阿达木单抗及类似药发展情况</w:t>
      </w:r>
    </w:p>
    <w:p>
      <w:pPr>
        <w:spacing w:after="150"/>
      </w:pPr>
      <w:r>
        <w:rPr/>
        <w:t xml:space="preserve">5.4.1 全球研发情况</w:t>
      </w:r>
    </w:p>
    <w:p>
      <w:pPr>
        <w:spacing w:after="150"/>
      </w:pPr>
      <w:r>
        <w:rPr/>
        <w:t xml:space="preserve">5.4.2 市场发展规模</w:t>
      </w:r>
    </w:p>
    <w:p>
      <w:pPr>
        <w:spacing w:after="150"/>
      </w:pPr>
      <w:r>
        <w:rPr/>
        <w:t xml:space="preserve">5.4.3 中国市场分析</w:t>
      </w:r>
    </w:p>
    <w:p>
      <w:pPr>
        <w:spacing w:after="150"/>
      </w:pPr>
      <w:r>
        <w:rPr/>
        <w:t xml:space="preserve">5.5 依那西普及类似药发展情况</w:t>
      </w:r>
    </w:p>
    <w:p>
      <w:pPr>
        <w:spacing w:after="150"/>
      </w:pPr>
      <w:r>
        <w:rPr/>
        <w:t xml:space="preserve">5.5.1 全球研发情况</w:t>
      </w:r>
    </w:p>
    <w:p>
      <w:pPr>
        <w:spacing w:after="150"/>
      </w:pPr>
      <w:r>
        <w:rPr/>
        <w:t xml:space="preserve">5.5.2 市场发展规模</w:t>
      </w:r>
    </w:p>
    <w:p>
      <w:pPr>
        <w:spacing w:after="150"/>
      </w:pPr>
      <w:r>
        <w:rPr/>
        <w:t xml:space="preserve">5.5.3 中国研发情况</w:t>
      </w:r>
    </w:p>
    <w:p>
      <w:pPr>
        <w:spacing w:after="150"/>
      </w:pPr>
      <w:r>
        <w:rPr/>
        <w:t xml:space="preserve">5.6 英夫利西单抗及类似药发展情况</w:t>
      </w:r>
    </w:p>
    <w:p>
      <w:pPr>
        <w:spacing w:after="150"/>
      </w:pPr>
      <w:r>
        <w:rPr/>
        <w:t xml:space="preserve">5.6.1 行业研发情况</w:t>
      </w:r>
    </w:p>
    <w:p>
      <w:pPr>
        <w:spacing w:after="150"/>
      </w:pPr>
      <w:r>
        <w:rPr/>
        <w:t xml:space="preserve">5.6.2 市场发展规模</w:t>
      </w:r>
    </w:p>
    <w:p>
      <w:pPr>
        <w:spacing w:after="150"/>
      </w:pPr>
      <w:r>
        <w:rPr/>
        <w:t xml:space="preserve">5.6.3 中国市场分析</w:t>
      </w:r>
    </w:p>
    <w:p>
      <w:pPr>
        <w:spacing w:after="150"/>
      </w:pPr>
      <w:r>
        <w:rPr>
          <w:b w:val="1"/>
          <w:bCs w:val="1"/>
        </w:rPr>
        <w:t xml:space="preserve">第六章 2019-2023年全球生物类似药重点企业经营分析</w:t>
      </w:r>
    </w:p>
    <w:p>
      <w:pPr>
        <w:spacing w:after="150"/>
      </w:pPr>
      <w:r>
        <w:rPr/>
        <w:t xml:space="preserve">6.1 诺华(山德士)</w:t>
      </w:r>
    </w:p>
    <w:p>
      <w:pPr>
        <w:spacing w:after="150"/>
      </w:pPr>
      <w:r>
        <w:rPr/>
        <w:t xml:space="preserve">6.1.1 企业发展概况</w:t>
      </w:r>
    </w:p>
    <w:p>
      <w:pPr>
        <w:spacing w:after="150"/>
      </w:pPr>
      <w:r>
        <w:rPr/>
        <w:t xml:space="preserve">6.1.2 企业经营状况</w:t>
      </w:r>
    </w:p>
    <w:p>
      <w:pPr>
        <w:spacing w:after="150"/>
      </w:pPr>
      <w:r>
        <w:rPr/>
        <w:t xml:space="preserve">6.1.3 生物类似药规模</w:t>
      </w:r>
    </w:p>
    <w:p>
      <w:pPr>
        <w:spacing w:after="150"/>
      </w:pPr>
      <w:r>
        <w:rPr/>
        <w:t xml:space="preserve">6.1.4 产品研发管线</w:t>
      </w:r>
    </w:p>
    <w:p>
      <w:pPr>
        <w:spacing w:after="150"/>
      </w:pPr>
      <w:r>
        <w:rPr/>
        <w:t xml:space="preserve">6.2 辉瑞(Hospira)</w:t>
      </w:r>
    </w:p>
    <w:p>
      <w:pPr>
        <w:spacing w:after="150"/>
      </w:pPr>
      <w:r>
        <w:rPr/>
        <w:t xml:space="preserve">6.2.1 企业发展概况</w:t>
      </w:r>
    </w:p>
    <w:p>
      <w:pPr>
        <w:spacing w:after="150"/>
      </w:pPr>
      <w:r>
        <w:rPr/>
        <w:t xml:space="preserve">6.2.2 企业经营状况</w:t>
      </w:r>
    </w:p>
    <w:p>
      <w:pPr>
        <w:spacing w:after="150"/>
      </w:pPr>
      <w:r>
        <w:rPr/>
        <w:t xml:space="preserve">6.2.3 研发布局情况</w:t>
      </w:r>
    </w:p>
    <w:p>
      <w:pPr>
        <w:spacing w:after="150"/>
      </w:pPr>
      <w:r>
        <w:rPr/>
        <w:t xml:space="preserve">6.2.4 产品研发管线</w:t>
      </w:r>
    </w:p>
    <w:p>
      <w:pPr>
        <w:spacing w:after="150"/>
      </w:pPr>
      <w:r>
        <w:rPr/>
        <w:t xml:space="preserve">6.3 三星Bioeois</w:t>
      </w:r>
    </w:p>
    <w:p>
      <w:pPr>
        <w:spacing w:after="150"/>
      </w:pPr>
      <w:r>
        <w:rPr/>
        <w:t xml:space="preserve">6.3.1 企业发展概况</w:t>
      </w:r>
    </w:p>
    <w:p>
      <w:pPr>
        <w:spacing w:after="150"/>
      </w:pPr>
      <w:r>
        <w:rPr/>
        <w:t xml:space="preserve">6.3.2 产品研发管线</w:t>
      </w:r>
    </w:p>
    <w:p>
      <w:pPr>
        <w:spacing w:after="150"/>
      </w:pPr>
      <w:r>
        <w:rPr/>
        <w:t xml:space="preserve">6.3.3 企业经营动态</w:t>
      </w:r>
    </w:p>
    <w:p>
      <w:pPr>
        <w:spacing w:after="150"/>
      </w:pPr>
      <w:r>
        <w:rPr/>
        <w:t xml:space="preserve">6.4 Celltrion</w:t>
      </w:r>
    </w:p>
    <w:p>
      <w:pPr>
        <w:spacing w:after="150"/>
      </w:pPr>
      <w:r>
        <w:rPr/>
        <w:t xml:space="preserve">6.4.1 企业发展概况</w:t>
      </w:r>
    </w:p>
    <w:p>
      <w:pPr>
        <w:spacing w:after="150"/>
      </w:pPr>
      <w:r>
        <w:rPr/>
        <w:t xml:space="preserve">6.4.2 企业经营状况</w:t>
      </w:r>
    </w:p>
    <w:p>
      <w:pPr>
        <w:spacing w:after="150"/>
      </w:pPr>
      <w:r>
        <w:rPr/>
        <w:t xml:space="preserve">6.4.3 产品研发管线</w:t>
      </w:r>
    </w:p>
    <w:p>
      <w:pPr>
        <w:spacing w:after="150"/>
      </w:pPr>
      <w:r>
        <w:rPr/>
        <w:t xml:space="preserve">6.4.4 生产及市场策略</w:t>
      </w:r>
    </w:p>
    <w:p>
      <w:pPr>
        <w:spacing w:after="150"/>
      </w:pPr>
      <w:r>
        <w:rPr/>
        <w:t xml:space="preserve">6.5 安进</w:t>
      </w:r>
    </w:p>
    <w:p>
      <w:pPr>
        <w:spacing w:after="150"/>
      </w:pPr>
      <w:r>
        <w:rPr/>
        <w:t xml:space="preserve">6.5.1 企业发展概况</w:t>
      </w:r>
    </w:p>
    <w:p>
      <w:pPr>
        <w:spacing w:after="150"/>
      </w:pPr>
      <w:r>
        <w:rPr/>
        <w:t xml:space="preserve">6.5.2 企业经营状况</w:t>
      </w:r>
    </w:p>
    <w:p>
      <w:pPr>
        <w:spacing w:after="150"/>
      </w:pPr>
      <w:r>
        <w:rPr/>
        <w:t xml:space="preserve">6.5.3 产品研发管线</w:t>
      </w:r>
    </w:p>
    <w:p>
      <w:pPr>
        <w:spacing w:after="150"/>
      </w:pPr>
      <w:r>
        <w:rPr/>
        <w:t xml:space="preserve">6.5.4 企业发展优势</w:t>
      </w:r>
    </w:p>
    <w:p>
      <w:pPr>
        <w:spacing w:after="150"/>
      </w:pPr>
      <w:r>
        <w:rPr>
          <w:b w:val="1"/>
          <w:bCs w:val="1"/>
        </w:rPr>
        <w:t xml:space="preserve">第七章 2019-2023年中国生物类似药重点企业经营状况</w:t>
      </w:r>
    </w:p>
    <w:p>
      <w:pPr>
        <w:spacing w:after="150"/>
      </w:pPr>
      <w:r>
        <w:rPr/>
        <w:t xml:space="preserve">7.1 信达生物</w:t>
      </w:r>
    </w:p>
    <w:p>
      <w:pPr>
        <w:spacing w:after="150"/>
      </w:pPr>
      <w:r>
        <w:rPr/>
        <w:t xml:space="preserve">7.1.1 企业发展概况</w:t>
      </w:r>
    </w:p>
    <w:p>
      <w:pPr>
        <w:spacing w:after="150"/>
      </w:pPr>
      <w:r>
        <w:rPr/>
        <w:t xml:space="preserve">7.1.2 产品研发能力</w:t>
      </w:r>
    </w:p>
    <w:p>
      <w:pPr>
        <w:spacing w:after="150"/>
      </w:pPr>
      <w:r>
        <w:rPr/>
        <w:t xml:space="preserve">7.1.3 产品研发管线</w:t>
      </w:r>
    </w:p>
    <w:p>
      <w:pPr>
        <w:spacing w:after="150"/>
      </w:pPr>
      <w:r>
        <w:rPr/>
        <w:t xml:space="preserve">7.1.4 企业融资情况</w:t>
      </w:r>
    </w:p>
    <w:p>
      <w:pPr>
        <w:spacing w:after="150"/>
      </w:pPr>
      <w:r>
        <w:rPr/>
        <w:t xml:space="preserve">7.2 复星医药</w:t>
      </w:r>
    </w:p>
    <w:p>
      <w:pPr>
        <w:spacing w:after="150"/>
      </w:pPr>
      <w:r>
        <w:rPr/>
        <w:t xml:space="preserve">7.2.1 企业发展概况</w:t>
      </w:r>
    </w:p>
    <w:p>
      <w:pPr>
        <w:spacing w:after="150"/>
      </w:pPr>
      <w:r>
        <w:rPr/>
        <w:t xml:space="preserve">7.2.2 产品研发管线</w:t>
      </w:r>
    </w:p>
    <w:p>
      <w:pPr>
        <w:spacing w:after="150"/>
      </w:pPr>
      <w:r>
        <w:rPr/>
        <w:t xml:space="preserve">7.2.3 经营效益分析</w:t>
      </w:r>
    </w:p>
    <w:p>
      <w:pPr>
        <w:spacing w:after="150"/>
      </w:pPr>
      <w:r>
        <w:rPr/>
        <w:t xml:space="preserve">7.2.4 业务经营分析</w:t>
      </w:r>
    </w:p>
    <w:p>
      <w:pPr>
        <w:spacing w:after="150"/>
      </w:pPr>
      <w:r>
        <w:rPr/>
        <w:t xml:space="preserve">7.2.5 财务状况分析</w:t>
      </w:r>
    </w:p>
    <w:p>
      <w:pPr>
        <w:spacing w:after="150"/>
      </w:pPr>
      <w:r>
        <w:rPr/>
        <w:t xml:space="preserve">7.2.6 未来前景展望</w:t>
      </w:r>
    </w:p>
    <w:p>
      <w:pPr>
        <w:spacing w:after="150"/>
      </w:pPr>
      <w:r>
        <w:rPr/>
        <w:t xml:space="preserve">7.3 沃森生物</w:t>
      </w:r>
    </w:p>
    <w:p>
      <w:pPr>
        <w:spacing w:after="150"/>
      </w:pPr>
      <w:r>
        <w:rPr/>
        <w:t xml:space="preserve">7.3.1 企业发展概况</w:t>
      </w:r>
    </w:p>
    <w:p>
      <w:pPr>
        <w:spacing w:after="150"/>
      </w:pPr>
      <w:r>
        <w:rPr/>
        <w:t xml:space="preserve">7.3.2 产品研发管线</w:t>
      </w:r>
    </w:p>
    <w:p>
      <w:pPr>
        <w:spacing w:after="150"/>
      </w:pPr>
      <w:r>
        <w:rPr/>
        <w:t xml:space="preserve">7.3.3 经营效益分析</w:t>
      </w:r>
    </w:p>
    <w:p>
      <w:pPr>
        <w:spacing w:after="150"/>
      </w:pPr>
      <w:r>
        <w:rPr/>
        <w:t xml:space="preserve">7.3.4 业务经营分析</w:t>
      </w:r>
    </w:p>
    <w:p>
      <w:pPr>
        <w:spacing w:after="150"/>
      </w:pPr>
      <w:r>
        <w:rPr/>
        <w:t xml:space="preserve">7.3.5 财务状况分析</w:t>
      </w:r>
    </w:p>
    <w:p>
      <w:pPr>
        <w:spacing w:after="150"/>
      </w:pPr>
      <w:r>
        <w:rPr/>
        <w:t xml:space="preserve">7.3.6 未来前景展望</w:t>
      </w:r>
    </w:p>
    <w:p>
      <w:pPr>
        <w:spacing w:after="150"/>
      </w:pPr>
      <w:r>
        <w:rPr/>
        <w:t xml:space="preserve">7.4 康宁杰瑞</w:t>
      </w:r>
    </w:p>
    <w:p>
      <w:pPr>
        <w:spacing w:after="150"/>
      </w:pPr>
      <w:r>
        <w:rPr/>
        <w:t xml:space="preserve">7.4.1 企业发展概况</w:t>
      </w:r>
    </w:p>
    <w:p>
      <w:pPr>
        <w:spacing w:after="150"/>
      </w:pPr>
      <w:r>
        <w:rPr/>
        <w:t xml:space="preserve">7.4.2 企业研发管线</w:t>
      </w:r>
    </w:p>
    <w:p>
      <w:pPr>
        <w:spacing w:after="150"/>
      </w:pPr>
      <w:r>
        <w:rPr/>
        <w:t xml:space="preserve">7.4.3 企业研发平台</w:t>
      </w:r>
    </w:p>
    <w:p>
      <w:pPr>
        <w:spacing w:after="150"/>
      </w:pPr>
      <w:r>
        <w:rPr/>
        <w:t xml:space="preserve">7.5 齐鲁制药</w:t>
      </w:r>
    </w:p>
    <w:p>
      <w:pPr>
        <w:spacing w:after="150"/>
      </w:pPr>
      <w:r>
        <w:rPr/>
        <w:t xml:space="preserve">7.5.1 企业发展概况</w:t>
      </w:r>
    </w:p>
    <w:p>
      <w:pPr>
        <w:spacing w:after="150"/>
      </w:pPr>
      <w:r>
        <w:rPr/>
        <w:t xml:space="preserve">7.5.2 企业研发情况</w:t>
      </w:r>
    </w:p>
    <w:p>
      <w:pPr>
        <w:spacing w:after="150"/>
      </w:pPr>
      <w:r>
        <w:rPr/>
        <w:t xml:space="preserve">7.5.3 企业发展动态</w:t>
      </w:r>
    </w:p>
    <w:p>
      <w:pPr>
        <w:spacing w:after="150"/>
      </w:pPr>
      <w:r>
        <w:rPr>
          <w:b w:val="1"/>
          <w:bCs w:val="1"/>
        </w:rPr>
        <w:t xml:space="preserve">第八章 生物类似药行业投资机遇及风险预警</w:t>
      </w:r>
    </w:p>
    <w:p>
      <w:pPr>
        <w:spacing w:after="150"/>
      </w:pPr>
      <w:r>
        <w:rPr/>
        <w:t xml:space="preserve">8.1 生物类似药投资机遇分析</w:t>
      </w:r>
    </w:p>
    <w:p>
      <w:pPr>
        <w:spacing w:after="150"/>
      </w:pPr>
      <w:r>
        <w:rPr/>
        <w:t xml:space="preserve">8.1.1 专利红利机遇</w:t>
      </w:r>
    </w:p>
    <w:p>
      <w:pPr>
        <w:spacing w:after="150"/>
      </w:pPr>
      <w:r>
        <w:rPr/>
        <w:t xml:space="preserve">8.1.2 医保目录机遇</w:t>
      </w:r>
    </w:p>
    <w:p>
      <w:pPr>
        <w:spacing w:after="150"/>
      </w:pPr>
      <w:r>
        <w:rPr/>
        <w:t xml:space="preserve">8.1.3 市场需求机遇</w:t>
      </w:r>
    </w:p>
    <w:p>
      <w:pPr>
        <w:spacing w:after="150"/>
      </w:pPr>
      <w:r>
        <w:rPr/>
        <w:t xml:space="preserve">8.2 生物类似药进入壁垒分析</w:t>
      </w:r>
    </w:p>
    <w:p>
      <w:pPr>
        <w:spacing w:after="150"/>
      </w:pPr>
      <w:r>
        <w:rPr/>
        <w:t xml:space="preserve">8.2.1 技术壁垒</w:t>
      </w:r>
    </w:p>
    <w:p>
      <w:pPr>
        <w:spacing w:after="150"/>
      </w:pPr>
      <w:r>
        <w:rPr/>
        <w:t xml:space="preserve">8.2.2 投资壁垒</w:t>
      </w:r>
    </w:p>
    <w:p>
      <w:pPr>
        <w:spacing w:after="150"/>
      </w:pPr>
      <w:r>
        <w:rPr/>
        <w:t xml:space="preserve">8.2.3 专利壁垒</w:t>
      </w:r>
    </w:p>
    <w:p>
      <w:pPr>
        <w:spacing w:after="150"/>
      </w:pPr>
      <w:r>
        <w:rPr/>
        <w:t xml:space="preserve">8.2.4 研发壁垒对比</w:t>
      </w:r>
    </w:p>
    <w:p>
      <w:pPr>
        <w:spacing w:after="150"/>
      </w:pPr>
      <w:r>
        <w:rPr/>
        <w:t xml:space="preserve">8.3 生物类似药投资风险分析</w:t>
      </w:r>
    </w:p>
    <w:p>
      <w:pPr>
        <w:spacing w:after="150"/>
      </w:pPr>
      <w:r>
        <w:rPr/>
        <w:t xml:space="preserve">8.3.1 研发风险</w:t>
      </w:r>
    </w:p>
    <w:p>
      <w:pPr>
        <w:spacing w:after="150"/>
      </w:pPr>
      <w:r>
        <w:rPr/>
        <w:t xml:space="preserve">8.3.2 市场风险</w:t>
      </w:r>
    </w:p>
    <w:p>
      <w:pPr>
        <w:spacing w:after="150"/>
      </w:pPr>
      <w:r>
        <w:rPr/>
        <w:t xml:space="preserve">8.3.3 政策风险</w:t>
      </w:r>
    </w:p>
    <w:p>
      <w:pPr>
        <w:spacing w:after="150"/>
      </w:pPr>
      <w:r>
        <w:rPr>
          <w:b w:val="1"/>
          <w:bCs w:val="1"/>
        </w:rPr>
        <w:t xml:space="preserve">第九章 生物类似药行业前景展望及预测</w:t>
      </w:r>
    </w:p>
    <w:p>
      <w:pPr>
        <w:spacing w:after="150"/>
      </w:pPr>
      <w:r>
        <w:rPr/>
        <w:t xml:space="preserve">9.1 生物类似药发展前景展望</w:t>
      </w:r>
    </w:p>
    <w:p>
      <w:pPr>
        <w:spacing w:after="150"/>
      </w:pPr>
      <w:r>
        <w:rPr/>
        <w:t xml:space="preserve">9.1.1 行业发展前景</w:t>
      </w:r>
    </w:p>
    <w:p>
      <w:pPr>
        <w:spacing w:after="150"/>
      </w:pPr>
      <w:r>
        <w:rPr/>
        <w:t xml:space="preserve">9.1.2 中国发展趋势</w:t>
      </w:r>
    </w:p>
    <w:p>
      <w:pPr>
        <w:spacing w:after="150"/>
      </w:pPr>
      <w:r>
        <w:rPr/>
        <w:t xml:space="preserve">9.2 2024-2029年生物类似药行业预测分析</w:t>
      </w:r>
    </w:p>
    <w:p>
      <w:pPr>
        <w:spacing w:after="150"/>
      </w:pPr>
      <w:r>
        <w:rPr/>
        <w:t xml:space="preserve">9.2.1 影响因素分析</w:t>
      </w:r>
    </w:p>
    <w:p>
      <w:pPr>
        <w:spacing w:after="150"/>
      </w:pPr>
      <w:r>
        <w:rPr/>
        <w:t xml:space="preserve">9.2.2 市场规模预测</w:t>
      </w:r>
    </w:p>
    <w:p>
      <w:pPr>
        <w:spacing w:after="150"/>
      </w:pPr>
      <w:r>
        <w:rPr>
          <w:b w:val="1"/>
          <w:bCs w:val="1"/>
        </w:rPr>
        <w:t xml:space="preserve">图表目录</w:t>
      </w:r>
    </w:p>
    <w:p>
      <w:pPr>
        <w:spacing w:after="150"/>
      </w:pPr>
      <w:r>
        <w:rPr/>
        <w:t xml:space="preserve">图表：各大机构对生物类似药的定义</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图表：2019-2023年中国贸易顺差走势</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图表：2019-2023年中国固定资产投资增速走势</w:t>
      </w:r>
    </w:p>
    <w:p>
      <w:pPr>
        <w:spacing w:after="150"/>
      </w:pPr>
      <w:r>
        <w:rPr/>
        <w:t xml:space="preserve">图表：2019-2023年分行业固定资产投资(不含农户)及其增长速度</w:t>
      </w:r>
    </w:p>
    <w:p>
      <w:pPr>
        <w:spacing w:after="150"/>
      </w:pPr>
      <w:r>
        <w:rPr/>
        <w:t xml:space="preserve">图表：中国、WHO、欧盟、美国和日本生物类似药指导原则</w:t>
      </w:r>
    </w:p>
    <w:p>
      <w:pPr>
        <w:spacing w:after="150"/>
      </w:pPr>
      <w:r>
        <w:rPr/>
        <w:t xml:space="preserve">图表：2019-2023年全国居民人均可支配收入及其增速</w:t>
      </w:r>
    </w:p>
    <w:p>
      <w:pPr>
        <w:spacing w:after="150"/>
      </w:pPr>
      <w:r>
        <w:rPr/>
        <w:t xml:space="preserve">图表：2019-2023年全国居民人均消费支出及其构成</w:t>
      </w:r>
    </w:p>
    <w:p>
      <w:pPr>
        <w:spacing w:after="150"/>
      </w:pPr>
      <w:r>
        <w:rPr/>
        <w:t xml:space="preserve">图表：2019-2023年年末人口数量及构成</w:t>
      </w:r>
    </w:p>
    <w:p>
      <w:pPr>
        <w:spacing w:after="150"/>
      </w:pPr>
      <w:r>
        <w:rPr/>
        <w:t xml:space="preserve">图表：全球生物医药产业发展示意图</w:t>
      </w:r>
    </w:p>
    <w:p>
      <w:pPr>
        <w:spacing w:after="150"/>
      </w:pPr>
      <w:r>
        <w:rPr/>
        <w:t xml:space="preserve">图表：主要经济体生物制药行业竞争能力及投资环境排名</w:t>
      </w:r>
    </w:p>
    <w:p>
      <w:pPr>
        <w:spacing w:after="150"/>
      </w:pPr>
      <w:r>
        <w:rPr/>
        <w:t xml:space="preserve">图表：2019-2023年全球生物医药投融资交易额</w:t>
      </w:r>
    </w:p>
    <w:p>
      <w:pPr>
        <w:spacing w:after="150"/>
      </w:pPr>
      <w:r>
        <w:rPr/>
        <w:t xml:space="preserve">图表：全球生物药发展格局</w:t>
      </w:r>
    </w:p>
    <w:p>
      <w:pPr>
        <w:spacing w:after="150"/>
      </w:pPr>
      <w:r>
        <w:rPr/>
        <w:t xml:space="preserve">图表：全球药品销售TOP20</w:t>
      </w:r>
    </w:p>
    <w:p>
      <w:pPr>
        <w:spacing w:after="150"/>
      </w:pPr>
      <w:r>
        <w:rPr/>
        <w:t xml:space="preserve">图表：生物药研发分布的主要国家</w:t>
      </w:r>
    </w:p>
    <w:p>
      <w:pPr>
        <w:spacing w:after="150"/>
      </w:pPr>
      <w:r>
        <w:rPr/>
        <w:t xml:space="preserve">图表：2019-2023年中国生物技术进口量统计表</w:t>
      </w:r>
    </w:p>
    <w:p>
      <w:pPr>
        <w:spacing w:after="150"/>
      </w:pPr>
      <w:r>
        <w:rPr/>
        <w:t xml:space="preserve">图表：2019-2023年生物类似药上市后市场价格变化</w:t>
      </w:r>
    </w:p>
    <w:p>
      <w:pPr>
        <w:spacing w:after="150"/>
      </w:pPr>
      <w:r>
        <w:rPr/>
        <w:t xml:space="preserve">图表：预计陆续获批的单抗生物类似药降价幅度</w:t>
      </w:r>
    </w:p>
    <w:p>
      <w:pPr>
        <w:spacing w:after="150"/>
      </w:pPr>
      <w:r>
        <w:rPr/>
        <w:t xml:space="preserve">图表：生物类似药产品数量</w:t>
      </w:r>
    </w:p>
    <w:p>
      <w:pPr>
        <w:spacing w:after="150"/>
      </w:pPr>
      <w:r>
        <w:rPr/>
        <w:t xml:space="preserve">图表：生物类似药主要大公司合作</w:t>
      </w:r>
    </w:p>
    <w:p>
      <w:pPr>
        <w:spacing w:after="150"/>
      </w:pPr>
      <w:r>
        <w:rPr/>
        <w:t xml:space="preserve">图表：2019-2023年上市的生物类似药区域分布</w:t>
      </w:r>
    </w:p>
    <w:p>
      <w:pPr>
        <w:spacing w:after="150"/>
      </w:pPr>
      <w:r>
        <w:rPr/>
        <w:t xml:space="preserve">图表：2019-2023年处于不同阶段的生物类似药</w:t>
      </w:r>
    </w:p>
    <w:p>
      <w:pPr>
        <w:spacing w:after="150"/>
      </w:pPr>
      <w:r>
        <w:rPr/>
        <w:t xml:space="preserve">图表：生物类似药临床阶段占比</w:t>
      </w:r>
    </w:p>
    <w:p>
      <w:pPr>
        <w:spacing w:after="150"/>
      </w:pPr>
      <w:r>
        <w:rPr/>
        <w:t xml:space="preserve">图表：欧盟已批准的生物类似药(一)</w:t>
      </w:r>
    </w:p>
    <w:p>
      <w:pPr>
        <w:spacing w:after="150"/>
      </w:pPr>
      <w:r>
        <w:rPr/>
        <w:t xml:space="preserve">图表：欧盟已批准的生物类似药(二)</w:t>
      </w:r>
    </w:p>
    <w:p>
      <w:pPr>
        <w:spacing w:after="150"/>
      </w:pPr>
      <w:r>
        <w:rPr/>
        <w:t xml:space="preserve">图表：美国已批准的生物类似药</w:t>
      </w:r>
    </w:p>
    <w:p>
      <w:pPr>
        <w:spacing w:after="150"/>
      </w:pPr>
      <w:r>
        <w:rPr/>
        <w:t xml:space="preserve">图表：欧美企业获批生物类似药的数量</w:t>
      </w:r>
    </w:p>
    <w:p>
      <w:pPr>
        <w:spacing w:after="150"/>
      </w:pPr>
      <w:r>
        <w:rPr/>
        <w:t xml:space="preserve">图表：欧美市场前五大生物类似药企业在研生物类似药数量</w:t>
      </w:r>
    </w:p>
    <w:p>
      <w:pPr>
        <w:spacing w:after="150"/>
      </w:pPr>
      <w:r>
        <w:rPr/>
        <w:t xml:space="preserve">图表：欧美市场获批生物类似药的分类占比</w:t>
      </w:r>
    </w:p>
    <w:p>
      <w:pPr>
        <w:spacing w:after="150"/>
      </w:pPr>
      <w:r>
        <w:rPr/>
        <w:t xml:space="preserve">图表：欧美不同类型生物类似药获批数量</w:t>
      </w:r>
    </w:p>
    <w:p>
      <w:pPr>
        <w:spacing w:after="150"/>
      </w:pPr>
      <w:r>
        <w:rPr/>
        <w:t xml:space="preserve">图表：单抗研发企业进度</w:t>
      </w:r>
    </w:p>
    <w:p>
      <w:pPr>
        <w:spacing w:after="150"/>
      </w:pPr>
      <w:r>
        <w:rPr/>
        <w:t xml:space="preserve">图表：国内具备单抗生产线的企业生产线规模和产量</w:t>
      </w:r>
    </w:p>
    <w:p>
      <w:pPr>
        <w:spacing w:after="150"/>
      </w:pPr>
      <w:r>
        <w:rPr/>
        <w:t xml:space="preserve">图表：利妥昔单抗对DLBCL的临床试验疗效</w:t>
      </w:r>
    </w:p>
    <w:p>
      <w:pPr>
        <w:spacing w:after="150"/>
      </w:pPr>
      <w:r>
        <w:rPr/>
        <w:t xml:space="preserve">图表：2019-2023年利妥昔单抗全球销售规模</w:t>
      </w:r>
    </w:p>
    <w:p>
      <w:pPr>
        <w:spacing w:after="150"/>
      </w:pPr>
      <w:r>
        <w:rPr/>
        <w:t xml:space="preserve">图表：中国利妥昔单抗类似药及新药研发情况</w:t>
      </w:r>
    </w:p>
    <w:p>
      <w:pPr>
        <w:spacing w:after="150"/>
      </w:pPr>
      <w:r>
        <w:rPr/>
        <w:t xml:space="preserve">图表：中国利妥昔单抗市场空间</w:t>
      </w:r>
    </w:p>
    <w:p>
      <w:pPr>
        <w:spacing w:after="150"/>
      </w:pPr>
      <w:r>
        <w:rPr/>
        <w:t xml:space="preserve">图表：曲妥珠单抗作为HER2过表达的乳腺癌的一线治疗临床试验疗效</w:t>
      </w:r>
    </w:p>
    <w:p>
      <w:pPr>
        <w:spacing w:after="150"/>
      </w:pPr>
      <w:r>
        <w:rPr/>
        <w:t xml:space="preserve">图表：2019-2023年曲妥珠单抗全球销售规模</w:t>
      </w:r>
    </w:p>
    <w:p>
      <w:pPr>
        <w:spacing w:after="150"/>
      </w:pPr>
      <w:r>
        <w:rPr/>
        <w:t xml:space="preserve">图表：中国曲妥珠单抗类似药及新药研发情况</w:t>
      </w:r>
    </w:p>
    <w:p>
      <w:pPr>
        <w:spacing w:after="150"/>
      </w:pPr>
      <w:r>
        <w:rPr/>
        <w:t xml:space="preserve">图表：中国曲妥珠单抗乳腺癌市场空间</w:t>
      </w:r>
    </w:p>
    <w:p>
      <w:pPr>
        <w:spacing w:after="150"/>
      </w:pPr>
      <w:r>
        <w:rPr/>
        <w:t xml:space="preserve">图表：贝伐珠单抗作为转移性结直肠癌一线疗法的临床试验疗效</w:t>
      </w:r>
    </w:p>
    <w:p>
      <w:pPr>
        <w:spacing w:after="150"/>
      </w:pPr>
      <w:r>
        <w:rPr/>
        <w:t xml:space="preserve">图表：2019-2023年贝伐珠单抗全球销售规模</w:t>
      </w:r>
    </w:p>
    <w:p>
      <w:pPr>
        <w:spacing w:after="150"/>
      </w:pPr>
      <w:r>
        <w:rPr/>
        <w:t xml:space="preserve">图表：中国贝伐珠单抗类似药及新药研发情况</w:t>
      </w:r>
    </w:p>
    <w:p>
      <w:pPr>
        <w:spacing w:after="150"/>
      </w:pPr>
      <w:r>
        <w:rPr/>
        <w:t xml:space="preserve">图表：中国贝伐珠单抗市场空间</w:t>
      </w:r>
    </w:p>
    <w:p>
      <w:pPr>
        <w:spacing w:after="150"/>
      </w:pPr>
      <w:r>
        <w:rPr/>
        <w:t xml:space="preserve">图表：2019-2023年阿达木单抗全球销售规模</w:t>
      </w:r>
    </w:p>
    <w:p>
      <w:pPr>
        <w:spacing w:after="150"/>
      </w:pPr>
      <w:r>
        <w:rPr/>
        <w:t xml:space="preserve">图表：中国阿达木单抗类似药及新药研发情况</w:t>
      </w:r>
    </w:p>
    <w:p>
      <w:pPr>
        <w:spacing w:after="150"/>
      </w:pPr>
      <w:r>
        <w:rPr/>
        <w:t xml:space="preserve">图表：2019-2023年依那西普全球销售规模</w:t>
      </w:r>
    </w:p>
    <w:p>
      <w:pPr>
        <w:spacing w:after="150"/>
      </w:pPr>
      <w:r>
        <w:rPr/>
        <w:t xml:space="preserve">图表：中国依那西普类似药及新药研发情况</w:t>
      </w:r>
    </w:p>
    <w:p>
      <w:pPr>
        <w:spacing w:after="150"/>
      </w:pPr>
      <w:r>
        <w:rPr/>
        <w:t xml:space="preserve">图表：中国依那西普仿制药格局</w:t>
      </w:r>
    </w:p>
    <w:p>
      <w:pPr>
        <w:spacing w:after="150"/>
      </w:pPr>
      <w:r>
        <w:rPr/>
        <w:t xml:space="preserve">图表：2019-2023年英夫利单抗全球销售规模</w:t>
      </w:r>
    </w:p>
    <w:p>
      <w:pPr>
        <w:spacing w:after="150"/>
      </w:pPr>
      <w:r>
        <w:rPr/>
        <w:t xml:space="preserve">图表：中国英夫利昔单抗类似药及新药研发情况</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图表：2019-2023年诺华公司收入分地区资料</w:t>
      </w:r>
    </w:p>
    <w:p>
      <w:pPr>
        <w:spacing w:after="150"/>
      </w:pPr>
      <w:r>
        <w:rPr/>
        <w:t xml:space="preserve">图表：山德士类似药产品研发管线</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图表：2019-2023年辉瑞收入分地区资料</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图表：2019-2023年辉瑞收入分地区资料</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图表：Hospira类似药产品研发管线</w:t>
      </w:r>
    </w:p>
    <w:p>
      <w:pPr>
        <w:spacing w:after="150"/>
      </w:pPr>
      <w:r>
        <w:rPr/>
        <w:t xml:space="preserve">图表：三星Bioepis类似药产品研发管线</w:t>
      </w:r>
    </w:p>
    <w:p>
      <w:pPr>
        <w:spacing w:after="150"/>
      </w:pPr>
      <w:r>
        <w:rPr/>
        <w:t xml:space="preserve">图表：2019-2023年Celltrion综合收益表</w:t>
      </w:r>
    </w:p>
    <w:p>
      <w:pPr>
        <w:spacing w:after="150"/>
      </w:pPr>
      <w:r>
        <w:rPr/>
        <w:t xml:space="preserve">图表：2019-2023年Celltrion收入分产品资料</w:t>
      </w:r>
    </w:p>
    <w:p>
      <w:pPr>
        <w:spacing w:after="150"/>
      </w:pPr>
      <w:r>
        <w:rPr/>
        <w:t xml:space="preserve">图表：2019-2023年Celltrion综合收益表</w:t>
      </w:r>
    </w:p>
    <w:p>
      <w:pPr>
        <w:spacing w:after="150"/>
      </w:pPr>
      <w:r>
        <w:rPr/>
        <w:t xml:space="preserve">图表：2019-2023年Celltrion收入分产品资料</w:t>
      </w:r>
    </w:p>
    <w:p>
      <w:pPr>
        <w:spacing w:after="150"/>
      </w:pPr>
      <w:r>
        <w:rPr/>
        <w:t xml:space="preserve">图表：2019-2023年Celltrion综合收益表</w:t>
      </w:r>
    </w:p>
    <w:p>
      <w:pPr>
        <w:spacing w:after="150"/>
      </w:pPr>
      <w:r>
        <w:rPr/>
        <w:t xml:space="preserve">图表：2019-2023年Celltrion收入分产品资料</w:t>
      </w:r>
    </w:p>
    <w:p>
      <w:pPr>
        <w:spacing w:after="150"/>
      </w:pPr>
      <w:r>
        <w:rPr/>
        <w:t xml:space="preserve">图表：Celltrion类似药产品研发管线</w:t>
      </w:r>
    </w:p>
    <w:p>
      <w:pPr>
        <w:spacing w:after="150"/>
      </w:pPr>
      <w:r>
        <w:rPr/>
        <w:t xml:space="preserve">图表：2019-2023年安进综合收益表</w:t>
      </w:r>
    </w:p>
    <w:p>
      <w:pPr>
        <w:spacing w:after="150"/>
      </w:pPr>
      <w:r>
        <w:rPr/>
        <w:t xml:space="preserve">图表：2019-2023年安进收入分地区资料</w:t>
      </w:r>
    </w:p>
    <w:p>
      <w:pPr>
        <w:spacing w:after="150"/>
      </w:pPr>
      <w:r>
        <w:rPr/>
        <w:t xml:space="preserve">图表：2019-2023年安进综合收益表</w:t>
      </w:r>
    </w:p>
    <w:p>
      <w:pPr>
        <w:spacing w:after="150"/>
      </w:pPr>
      <w:r>
        <w:rPr/>
        <w:t xml:space="preserve">图表：2019-2023年安进收入分地区资料</w:t>
      </w:r>
    </w:p>
    <w:p>
      <w:pPr>
        <w:spacing w:after="150"/>
      </w:pPr>
      <w:r>
        <w:rPr/>
        <w:t xml:space="preserve">图表：2019-2023年安进综合收益表</w:t>
      </w:r>
    </w:p>
    <w:p>
      <w:pPr>
        <w:spacing w:after="150"/>
      </w:pPr>
      <w:r>
        <w:rPr/>
        <w:t xml:space="preserve">图表：安进类似药产品研发管线</w:t>
      </w:r>
    </w:p>
    <w:p>
      <w:pPr>
        <w:spacing w:after="150"/>
      </w:pPr>
      <w:r>
        <w:rPr/>
        <w:t xml:space="preserve">图表：信达生物产品研发管线</w:t>
      </w:r>
    </w:p>
    <w:p>
      <w:pPr>
        <w:spacing w:after="150"/>
      </w:pPr>
      <w:r>
        <w:rPr/>
        <w:t xml:space="preserve">图表：复宏汉霖产品研发管线</w:t>
      </w:r>
    </w:p>
    <w:p>
      <w:pPr>
        <w:spacing w:after="150"/>
      </w:pPr>
      <w:r>
        <w:rPr/>
        <w:t xml:space="preserve">图表：2019-2023年上海复星医药(集团)股份有限公司总资产和净资产</w:t>
      </w:r>
    </w:p>
    <w:p>
      <w:pPr>
        <w:spacing w:after="150"/>
      </w:pPr>
      <w:r>
        <w:rPr/>
        <w:t xml:space="preserve">图表：2019-2023年上海复星医药(集团)股份有限公司营业收入和净利润</w:t>
      </w:r>
    </w:p>
    <w:p>
      <w:pPr>
        <w:spacing w:after="150"/>
      </w:pPr>
      <w:r>
        <w:rPr/>
        <w:t xml:space="preserve">图表：2019-2023年上海复星医药(集团)股份有限公司营业收入和净利润</w:t>
      </w:r>
    </w:p>
    <w:p>
      <w:pPr>
        <w:spacing w:after="150"/>
      </w:pPr>
      <w:r>
        <w:rPr/>
        <w:t xml:space="preserve">图表：2019-2023年上海复星医药(集团)股份有限公司现金流量</w:t>
      </w:r>
    </w:p>
    <w:p>
      <w:pPr>
        <w:spacing w:after="150"/>
      </w:pPr>
      <w:r>
        <w:rPr/>
        <w:t xml:space="preserve">图表：2019-2023年上海复星医药(集团)股份有限公司现金流量</w:t>
      </w:r>
    </w:p>
    <w:p>
      <w:pPr>
        <w:spacing w:after="150"/>
      </w:pPr>
      <w:r>
        <w:rPr/>
        <w:t xml:space="preserve">图表：2019-2023年上海复星医药(集团)股份有限公司主营业务收入分行业、产品、地区</w:t>
      </w:r>
    </w:p>
    <w:p>
      <w:pPr>
        <w:spacing w:after="150"/>
      </w:pPr>
      <w:r>
        <w:rPr/>
        <w:t xml:space="preserve">图表：2019-2023年上海复星医药(集团)股份有限公司成长能力</w:t>
      </w:r>
    </w:p>
    <w:p>
      <w:pPr>
        <w:spacing w:after="150"/>
      </w:pPr>
      <w:r>
        <w:rPr/>
        <w:t xml:space="preserve">图表：2019-2023年上海复星医药(集团)股份有限公司成长能力</w:t>
      </w:r>
    </w:p>
    <w:p>
      <w:pPr>
        <w:spacing w:after="150"/>
      </w:pPr>
      <w:r>
        <w:rPr/>
        <w:t xml:space="preserve">图表：2019-2023年上海复星医药(集团)股份有限公司短期偿债能力</w:t>
      </w:r>
    </w:p>
    <w:p>
      <w:pPr>
        <w:spacing w:after="150"/>
      </w:pPr>
      <w:r>
        <w:rPr/>
        <w:t xml:space="preserve">图表：2019-2023年上海复星医药(集团)股份有限公司短期偿债能力</w:t>
      </w:r>
    </w:p>
    <w:p>
      <w:pPr>
        <w:spacing w:after="150"/>
      </w:pPr>
      <w:r>
        <w:rPr/>
        <w:t xml:space="preserve">图表：2019-2023年上海复星医药(集团)股份有限公司长期偿债能力</w:t>
      </w:r>
    </w:p>
    <w:p>
      <w:pPr>
        <w:spacing w:after="150"/>
      </w:pPr>
      <w:r>
        <w:rPr/>
        <w:t xml:space="preserve">图表：2019-2023年上海复星医药(集团)股份有限公司长期偿债能力</w:t>
      </w:r>
    </w:p>
    <w:p>
      <w:pPr>
        <w:spacing w:after="150"/>
      </w:pPr>
      <w:r>
        <w:rPr/>
        <w:t xml:space="preserve">图表：2019-2023年上海复星医药(集团)股份有限公司运营能力</w:t>
      </w:r>
    </w:p>
    <w:p>
      <w:pPr>
        <w:spacing w:after="150"/>
      </w:pPr>
      <w:r>
        <w:rPr/>
        <w:t xml:space="preserve">图表：2019-2023年上海复星医药(集团)股份有限公司运营能力</w:t>
      </w:r>
    </w:p>
    <w:p>
      <w:pPr>
        <w:spacing w:after="150"/>
      </w:pPr>
      <w:r>
        <w:rPr/>
        <w:t xml:space="preserve">图表：2019-2023年上海复星医药(集团)股份有限公司盈利能力</w:t>
      </w:r>
    </w:p>
    <w:p>
      <w:pPr>
        <w:spacing w:after="150"/>
      </w:pPr>
      <w:r>
        <w:rPr/>
        <w:t xml:space="preserve">图表：2019-2023年上海复星医药(集团)股份有限公司盈利能力</w:t>
      </w:r>
    </w:p>
    <w:p>
      <w:pPr>
        <w:spacing w:after="150"/>
      </w:pPr>
      <w:r>
        <w:rPr/>
        <w:t xml:space="preserve">图表：嘉和生物产品研发管线</w:t>
      </w:r>
    </w:p>
    <w:p>
      <w:pPr>
        <w:spacing w:after="150"/>
      </w:pPr>
      <w:r>
        <w:rPr/>
        <w:t xml:space="preserve">图表：2019-2023年云南沃森生物技术股份有限公司总资产和净资产</w:t>
      </w:r>
    </w:p>
    <w:p>
      <w:pPr>
        <w:spacing w:after="150"/>
      </w:pPr>
      <w:r>
        <w:rPr/>
        <w:t xml:space="preserve">图表：2019-2023年云南沃森生物技术股份有限公司营业收入和净利润</w:t>
      </w:r>
    </w:p>
    <w:p>
      <w:pPr>
        <w:spacing w:after="150"/>
      </w:pPr>
      <w:r>
        <w:rPr/>
        <w:t xml:space="preserve">图表：2019-2023年云南沃森生物技术股份有限公司营业收入和净利润</w:t>
      </w:r>
    </w:p>
    <w:p>
      <w:pPr>
        <w:spacing w:after="150"/>
      </w:pPr>
      <w:r>
        <w:rPr/>
        <w:t xml:space="preserve">图表：2019-2023年云南沃森生物技术股份有限公司现金流量</w:t>
      </w:r>
    </w:p>
    <w:p>
      <w:pPr>
        <w:spacing w:after="150"/>
      </w:pPr>
      <w:r>
        <w:rPr/>
        <w:t xml:space="preserve">图表：2019-2023年云南沃森生物技术股份有限公司现金流量</w:t>
      </w:r>
    </w:p>
    <w:p>
      <w:pPr>
        <w:spacing w:after="150"/>
      </w:pPr>
      <w:r>
        <w:rPr/>
        <w:t xml:space="preserve">图表：2019-2023年云南沃森生物技术股份有限公司主营业务收入分行业、产品、地区</w:t>
      </w:r>
    </w:p>
    <w:p>
      <w:pPr>
        <w:spacing w:after="150"/>
      </w:pPr>
      <w:r>
        <w:rPr/>
        <w:t xml:space="preserve">图表：2019-2023年云南沃森生物技术股份有限公司成长能力</w:t>
      </w:r>
    </w:p>
    <w:p>
      <w:pPr>
        <w:spacing w:after="150"/>
      </w:pPr>
      <w:r>
        <w:rPr/>
        <w:t xml:space="preserve">图表：2019-2023年云南沃森生物技术股份有限公司成长能力</w:t>
      </w:r>
    </w:p>
    <w:p>
      <w:pPr>
        <w:spacing w:after="150"/>
      </w:pPr>
      <w:r>
        <w:rPr/>
        <w:t xml:space="preserve">图表：2019-2023年云南沃森生物技术股份有限公司短期偿债能力</w:t>
      </w:r>
    </w:p>
    <w:p>
      <w:pPr>
        <w:spacing w:after="150"/>
      </w:pPr>
      <w:r>
        <w:rPr/>
        <w:t xml:space="preserve">图表：2019-2023年云南沃森生物技术股份有限公司短期偿债能力</w:t>
      </w:r>
    </w:p>
    <w:p>
      <w:pPr>
        <w:spacing w:after="150"/>
      </w:pPr>
      <w:r>
        <w:rPr/>
        <w:t xml:space="preserve">图表：2019-2023年云南沃森生物技术股份有限公司长期偿债能力</w:t>
      </w:r>
    </w:p>
    <w:p>
      <w:pPr>
        <w:spacing w:after="150"/>
      </w:pPr>
      <w:r>
        <w:rPr/>
        <w:t xml:space="preserve">图表：2019-2023年云南沃森生物技术股份有限公司长期偿债能力</w:t>
      </w:r>
    </w:p>
    <w:p>
      <w:pPr>
        <w:spacing w:after="150"/>
      </w:pPr>
      <w:r>
        <w:rPr/>
        <w:t xml:space="preserve">图表：2019-2023年云南沃森生物技术股份有限公司运营能力</w:t>
      </w:r>
    </w:p>
    <w:p>
      <w:pPr>
        <w:spacing w:after="150"/>
      </w:pPr>
      <w:r>
        <w:rPr/>
        <w:t xml:space="preserve">图表：2019-2023年云南沃森生物技术股份有限公司运营能力</w:t>
      </w:r>
    </w:p>
    <w:p>
      <w:pPr>
        <w:spacing w:after="150"/>
      </w:pPr>
      <w:r>
        <w:rPr/>
        <w:t xml:space="preserve">图表：2019-2023年云南沃森生物技术股份有限公司盈利能力</w:t>
      </w:r>
    </w:p>
    <w:p>
      <w:pPr>
        <w:spacing w:after="150"/>
      </w:pPr>
      <w:r>
        <w:rPr/>
        <w:t xml:space="preserve">图表：2019-2023年云南沃森生物技术股份有限公司盈利能力</w:t>
      </w:r>
    </w:p>
    <w:p>
      <w:pPr>
        <w:spacing w:after="150"/>
      </w:pPr>
      <w:r>
        <w:rPr/>
        <w:t xml:space="preserve">图表：康宁杰瑞产品研发管线</w:t>
      </w:r>
    </w:p>
    <w:p>
      <w:pPr>
        <w:spacing w:after="150"/>
      </w:pPr>
      <w:r>
        <w:rPr/>
        <w:t xml:space="preserve">图表：纳米抗体噬菌体展示平台</w:t>
      </w:r>
    </w:p>
    <w:p>
      <w:pPr>
        <w:spacing w:after="150"/>
      </w:pPr>
      <w:r>
        <w:rPr/>
        <w:t xml:space="preserve">图表：2019-2023年全球药品销售额排名前10生物药专利到期时间</w:t>
      </w:r>
    </w:p>
    <w:p>
      <w:pPr>
        <w:spacing w:after="150"/>
      </w:pPr>
      <w:r>
        <w:rPr/>
        <w:t xml:space="preserve">图表：生物类似药上市价格对英夫利昔单抗美国市场的影响</w:t>
      </w:r>
    </w:p>
    <w:p>
      <w:pPr>
        <w:spacing w:after="150"/>
      </w:pPr>
      <w:r>
        <w:rPr/>
        <w:t xml:space="preserve">图表：生物类似药与化学仿制药研发壁垒对比</w:t>
      </w:r>
    </w:p>
    <w:p>
      <w:pPr>
        <w:spacing w:after="150"/>
      </w:pPr>
      <w:r>
        <w:rPr/>
        <w:t xml:space="preserve">图表：2024-2029年8大生物类似药节约医疗支出预测</w:t>
      </w:r>
    </w:p>
    <w:p>
      <w:pPr>
        <w:spacing w:after="150"/>
      </w:pPr>
      <w:r>
        <w:rPr/>
        <w:t xml:space="preserve">图表：2024-2029年全球生物类似药行业市场规模预测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2024-2029年中国生物类似药行业市场供需调查与投资潜力研究报告</dc:title>
  <dc:description>2024-2029年中国生物类似药行业市场供需调查与投资潜力研究报告</dc:description>
  <dc:subject>2024-2029年中国生物类似药行业市场供需调查与投资潜力研究报告</dc:subject>
  <cp:keywords>研究报告</cp:keywords>
  <cp:category>研究报告</cp:category>
  <cp:lastModifiedBy>北京中道泰和信息咨询有限公司</cp:lastModifiedBy>
  <dcterms:created xsi:type="dcterms:W3CDTF">2024-01-23T02:49:12+08:00</dcterms:created>
  <dcterms:modified xsi:type="dcterms:W3CDTF">2024-01-23T02:49:12+08:00</dcterms:modified>
</cp:coreProperties>
</file>

<file path=docProps/custom.xml><?xml version="1.0" encoding="utf-8"?>
<Properties xmlns="http://schemas.openxmlformats.org/officeDocument/2006/custom-properties" xmlns:vt="http://schemas.openxmlformats.org/officeDocument/2006/docPropsVTypes"/>
</file>