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2024-2029年中国城域网行业发展前景预测与投资战略规划分析报告</w:t>
      </w:r>
    </w:p>
    <w:p>
      <w:pPr>
        <w:spacing w:after="150"/>
      </w:pPr>
      <w:r>
        <w:rPr>
          <w:b w:val="1"/>
          <w:bCs w:val="1"/>
        </w:rPr>
        <w:t xml:space="preserve">报告简介</w:t>
      </w:r>
    </w:p>
    <w:p>
      <w:pPr>
        <w:spacing w:after="150"/>
      </w:pPr>
      <w:r>
        <w:rPr/>
        <w:t xml:space="preserve">城域网研究报告对城域网行业研究的内容和方法进行全面的阐述和论证，对研究过程中所获取的城域网资料进行全面系统的整理和分析，通过图表、统计结果及文献资料，或以纵向的发展过程，或横向类别分析提出论点、分析论据，进行论证。城域网报告绝对如实地反映客观情况，叙述、说明、推断、引用均恰如其分。文字、用词应力求准确。研究报告的文字也简单、明了、通顺、流畅，既明白如话，又把研究的效果准确地、科学地表达出来。城域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域网行业的发展状况进行了深入透彻地分析，对我国行业市场情况、技术现状、供需形势作了详尽研究，重点分析了国内外重点企业、行业发展趋势以及行业投资情况，报告还对城域网下游行业的发展进行了探讨，是城域网及相关企业、投资部门、研究机构准确了解目前中国市场发展动态，把握城域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2019-2023年城域网行业发展综述</w:t>
      </w:r>
    </w:p>
    <w:p>
      <w:pPr>
        <w:spacing w:after="150"/>
      </w:pPr>
      <w:r>
        <w:rPr/>
        <w:t xml:space="preserve">第一节 城域网行业界定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城域网行业发展成熟度分析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2024-2029年中国城域网企业PEST（环境）分析</w:t>
      </w:r>
    </w:p>
    <w:p>
      <w:pPr>
        <w:spacing w:after="150"/>
      </w:pPr>
      <w:r>
        <w:rPr/>
        <w:t xml:space="preserve">第一节 经济环境分析</w:t>
      </w:r>
    </w:p>
    <w:p>
      <w:pPr>
        <w:spacing w:after="150"/>
      </w:pPr>
      <w:r>
        <w:rPr/>
        <w:t xml:space="preserve">1.国内生产总值</w:t>
      </w:r>
    </w:p>
    <w:p>
      <w:pPr>
        <w:spacing w:after="150"/>
      </w:pPr>
      <w:r>
        <w:rPr/>
        <w:t xml:space="preserve">2.工业生产</w:t>
      </w:r>
    </w:p>
    <w:p>
      <w:pPr>
        <w:spacing w:after="150"/>
      </w:pPr>
      <w:r>
        <w:rPr/>
        <w:t xml:space="preserve">3.社会消费</w:t>
      </w:r>
    </w:p>
    <w:p>
      <w:pPr>
        <w:spacing w:after="150"/>
      </w:pPr>
      <w:r>
        <w:rPr/>
        <w:t xml:space="preserve">4.固定资产投资</w:t>
      </w:r>
    </w:p>
    <w:p>
      <w:pPr>
        <w:spacing w:after="150"/>
      </w:pPr>
      <w:r>
        <w:rPr/>
        <w:t xml:space="preserve">5.对外贸易</w:t>
      </w:r>
    </w:p>
    <w:p>
      <w:pPr>
        <w:spacing w:after="150"/>
      </w:pPr>
      <w:r>
        <w:rPr/>
        <w:t xml:space="preserve">6.居民消费价格指数</w:t>
      </w:r>
    </w:p>
    <w:p>
      <w:pPr>
        <w:spacing w:after="150"/>
      </w:pPr>
      <w:r>
        <w:rPr/>
        <w:t xml:space="preserve">7.工业品出厂价格指数</w:t>
      </w:r>
    </w:p>
    <w:p>
      <w:pPr>
        <w:spacing w:after="150"/>
      </w:pPr>
      <w:r>
        <w:rPr/>
        <w:t xml:space="preserve">8.货币供应量</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城域网行业生产技术分析</w:t>
      </w:r>
    </w:p>
    <w:p>
      <w:pPr>
        <w:spacing w:after="150"/>
      </w:pPr>
      <w:r>
        <w:rPr/>
        <w:t xml:space="preserve">第一节 城域网行业生产技术发展现状</w:t>
      </w:r>
    </w:p>
    <w:p>
      <w:pPr>
        <w:spacing w:after="150"/>
      </w:pPr>
      <w:r>
        <w:rPr/>
        <w:t xml:space="preserve">第二节 城域网行业产品生产工艺特点或流程</w:t>
      </w:r>
    </w:p>
    <w:p>
      <w:pPr>
        <w:spacing w:after="150"/>
      </w:pPr>
      <w:r>
        <w:rPr/>
        <w:t xml:space="preserve">第三节 城域网行业生产技术发展趋势分析</w:t>
      </w:r>
    </w:p>
    <w:p>
      <w:pPr>
        <w:spacing w:after="150"/>
      </w:pPr>
      <w:r>
        <w:rPr>
          <w:b w:val="1"/>
          <w:bCs w:val="1"/>
        </w:rPr>
        <w:t xml:space="preserve">第四章 2019-2023年中国城域网企业发展情况分析</w:t>
      </w:r>
    </w:p>
    <w:p>
      <w:pPr>
        <w:spacing w:after="150"/>
      </w:pPr>
      <w:r>
        <w:rPr/>
        <w:t xml:space="preserve">第一节 中国城域网企业发展分析</w:t>
      </w:r>
    </w:p>
    <w:p>
      <w:pPr>
        <w:spacing w:after="150"/>
      </w:pPr>
      <w:r>
        <w:rPr/>
        <w:t xml:space="preserve">一、2019-2023年城域网企业运行情况及特点分析</w:t>
      </w:r>
    </w:p>
    <w:p>
      <w:pPr>
        <w:spacing w:after="150"/>
      </w:pPr>
      <w:r>
        <w:rPr/>
        <w:t xml:space="preserve">二、2019-2023年城域网企业投资情况分析</w:t>
      </w:r>
    </w:p>
    <w:p>
      <w:pPr>
        <w:spacing w:after="150"/>
      </w:pPr>
      <w:r>
        <w:rPr/>
        <w:t xml:space="preserve">三、中国城域网企业产品结构分析</w:t>
      </w:r>
    </w:p>
    <w:p>
      <w:pPr>
        <w:spacing w:after="150"/>
      </w:pPr>
      <w:r>
        <w:rPr/>
        <w:t xml:space="preserve">四、中国城域网企业与宏观经济相关性分析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三、华东市场市场分析</w:t>
      </w:r>
    </w:p>
    <w:p>
      <w:pPr>
        <w:spacing w:after="150"/>
      </w:pPr>
      <w:r>
        <w:rPr/>
        <w:t xml:space="preserve">四、东北市场市场分析</w:t>
      </w:r>
    </w:p>
    <w:p>
      <w:pPr>
        <w:spacing w:after="150"/>
      </w:pPr>
      <w:r>
        <w:rPr/>
        <w:t xml:space="preserve">五、华南市场市场分析</w:t>
      </w:r>
    </w:p>
    <w:p>
      <w:pPr>
        <w:spacing w:after="150"/>
      </w:pPr>
      <w:r>
        <w:rPr/>
        <w:t xml:space="preserve">六、西北市场市场分析</w:t>
      </w:r>
    </w:p>
    <w:p>
      <w:pPr>
        <w:spacing w:after="150"/>
      </w:pPr>
      <w:r>
        <w:rPr/>
        <w:t xml:space="preserve">七、西南市场市场分析</w:t>
      </w:r>
    </w:p>
    <w:p>
      <w:pPr>
        <w:spacing w:after="150"/>
      </w:pPr>
      <w:r>
        <w:rPr/>
        <w:t xml:space="preserve">八、华中市场市场分析</w:t>
      </w:r>
    </w:p>
    <w:p>
      <w:pPr>
        <w:spacing w:after="150"/>
      </w:pPr>
      <w:r>
        <w:rPr>
          <w:b w:val="1"/>
          <w:bCs w:val="1"/>
        </w:rPr>
        <w:t xml:space="preserve">第五章 2019-2023年中国城域网市场供需调查分析</w:t>
      </w:r>
    </w:p>
    <w:p>
      <w:pPr>
        <w:spacing w:after="150"/>
      </w:pPr>
      <w:r>
        <w:rPr/>
        <w:t xml:space="preserve">第一节 2019-2023年中国城域网市场供给分析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2019-2023年中国城域网市场需求分析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2019-2023年中国城域网市场特征分析</w:t>
      </w:r>
    </w:p>
    <w:p>
      <w:pPr>
        <w:spacing w:after="150"/>
      </w:pPr>
      <w:r>
        <w:rPr/>
        <w:t xml:space="preserve">一、2019-2023年中国城域网产品特征分析</w:t>
      </w:r>
    </w:p>
    <w:p>
      <w:pPr>
        <w:spacing w:after="150"/>
      </w:pPr>
      <w:r>
        <w:rPr/>
        <w:t xml:space="preserve">二、2019-2023年中国城域网价格特征分析</w:t>
      </w:r>
    </w:p>
    <w:p>
      <w:pPr>
        <w:spacing w:after="150"/>
      </w:pPr>
      <w:r>
        <w:rPr/>
        <w:t xml:space="preserve">三、2019-2023年中国城域网渠道特征</w:t>
      </w:r>
    </w:p>
    <w:p>
      <w:pPr>
        <w:spacing w:after="150"/>
      </w:pPr>
      <w:r>
        <w:rPr/>
        <w:t xml:space="preserve">四、2019-2023年中国城域网购买特征</w:t>
      </w:r>
    </w:p>
    <w:p>
      <w:pPr>
        <w:spacing w:after="150"/>
      </w:pPr>
      <w:r>
        <w:rPr>
          <w:b w:val="1"/>
          <w:bCs w:val="1"/>
        </w:rPr>
        <w:t xml:space="preserve">第六章 2019-2023年城域网企业市场竞争格局分析</w:t>
      </w:r>
    </w:p>
    <w:p>
      <w:pPr>
        <w:spacing w:after="150"/>
      </w:pPr>
      <w:r>
        <w:rPr/>
        <w:t xml:space="preserve">第一节 2019-2023年中国城域网企业集中度分析</w:t>
      </w:r>
    </w:p>
    <w:p>
      <w:pPr>
        <w:spacing w:after="150"/>
      </w:pPr>
      <w:r>
        <w:rPr/>
        <w:t xml:space="preserve">第二节 2019-2023年中国城域网企业规模经济情况分析</w:t>
      </w:r>
    </w:p>
    <w:p>
      <w:pPr>
        <w:spacing w:after="150"/>
      </w:pPr>
      <w:r>
        <w:rPr/>
        <w:t xml:space="preserve">第三节 2019-2023年中国城域网企业格局以及竞争态势分析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2019-2023年中国城域网企业主要优势企业竞争力综合评价</w:t>
      </w:r>
    </w:p>
    <w:p>
      <w:pPr>
        <w:spacing w:after="150"/>
      </w:pPr>
      <w:r>
        <w:rPr>
          <w:b w:val="1"/>
          <w:bCs w:val="1"/>
        </w:rPr>
        <w:t xml:space="preserve">第七章 2019-2023年城域网企业主要竞争对手分析</w:t>
      </w:r>
    </w:p>
    <w:p>
      <w:pPr>
        <w:spacing w:after="150"/>
      </w:pPr>
      <w:r>
        <w:rPr/>
        <w:t xml:space="preserve">第一节 中兴通讯</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华为技术有限公司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北电网络(中国)有限公司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长城宽带网络服务有限公司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北京电信通电信工程有限公司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2024-2029年中国城域网企业上下游产业链分析及其影响</w:t>
      </w:r>
    </w:p>
    <w:p>
      <w:pPr>
        <w:spacing w:after="150"/>
      </w:pPr>
      <w:r>
        <w:rPr/>
        <w:t xml:space="preserve">第一节 2019-2023年中国城域网企业上游企业发展及影响分析</w:t>
      </w:r>
    </w:p>
    <w:p>
      <w:pPr>
        <w:spacing w:after="150"/>
      </w:pPr>
      <w:r>
        <w:rPr/>
        <w:t xml:space="preserve">一、2019-2023年中国城域网企业上游企业运行现状分析</w:t>
      </w:r>
    </w:p>
    <w:p>
      <w:pPr>
        <w:spacing w:after="150"/>
      </w:pPr>
      <w:r>
        <w:rPr/>
        <w:t xml:space="preserve">二、对本企业产生的影响分析</w:t>
      </w:r>
    </w:p>
    <w:p>
      <w:pPr>
        <w:spacing w:after="150"/>
      </w:pPr>
      <w:r>
        <w:rPr/>
        <w:t xml:space="preserve">第二节 2019-2023年中国城域网企业下游企业发展及影响分析</w:t>
      </w:r>
    </w:p>
    <w:p>
      <w:pPr>
        <w:spacing w:after="150"/>
      </w:pPr>
      <w:r>
        <w:rPr/>
        <w:t xml:space="preserve">一、2019-2023年中国城域网企业下游企业运行现状分析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2024-2029年中国城域网企业发展趋势预测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2024-2029年城域网企业投资潜力与价值分析</w:t>
      </w:r>
    </w:p>
    <w:p>
      <w:pPr>
        <w:spacing w:after="150"/>
      </w:pPr>
      <w:r>
        <w:rPr/>
        <w:t xml:space="preserve">第一节 2024-2029年城域网企业投资环境分析</w:t>
      </w:r>
    </w:p>
    <w:p>
      <w:pPr>
        <w:spacing w:after="150"/>
      </w:pPr>
      <w:r>
        <w:rPr/>
        <w:t xml:space="preserve">第二节 2024-2029年城域网企业SWOT模型分析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2024-2029年我国城域网企业投资潜力分析</w:t>
      </w:r>
    </w:p>
    <w:p>
      <w:pPr>
        <w:spacing w:after="150"/>
      </w:pPr>
      <w:r>
        <w:rPr/>
        <w:t xml:space="preserve">第四节 2024-2029年我国城域网企业前景展望分析</w:t>
      </w:r>
    </w:p>
    <w:p>
      <w:pPr>
        <w:spacing w:after="150"/>
      </w:pPr>
      <w:r>
        <w:rPr/>
        <w:t xml:space="preserve">第五节 2024-2029年我国城域网企业盈利能力预测</w:t>
      </w:r>
    </w:p>
    <w:p>
      <w:pPr>
        <w:spacing w:after="150"/>
      </w:pPr>
      <w:r>
        <w:rPr>
          <w:b w:val="1"/>
          <w:bCs w:val="1"/>
        </w:rPr>
        <w:t xml:space="preserve">第十一章 2024-2029年城域网企业投资风险预警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2024-2029年城域网产业投资机会及投资策略分析</w:t>
      </w:r>
    </w:p>
    <w:p>
      <w:pPr>
        <w:spacing w:after="150"/>
      </w:pPr>
      <w:r>
        <w:rPr/>
        <w:t xml:space="preserve">第一节 2024-2029年城域网企业区域投资机会</w:t>
      </w:r>
    </w:p>
    <w:p>
      <w:pPr>
        <w:spacing w:after="150"/>
      </w:pPr>
      <w:r>
        <w:rPr/>
        <w:t xml:space="preserve">第二节 2024-2029年城域网企业主要产品投资机会</w:t>
      </w:r>
    </w:p>
    <w:p>
      <w:pPr>
        <w:spacing w:after="150"/>
      </w:pPr>
      <w:r>
        <w:rPr/>
        <w:t xml:space="preserve">第三节 2024-2029年城域网企业市场投资机会</w:t>
      </w:r>
    </w:p>
    <w:p>
      <w:pPr>
        <w:spacing w:after="150"/>
      </w:pPr>
      <w:r>
        <w:rPr/>
        <w:t xml:space="preserve">第四节 2024-2029年中国城域网企业投资策略分析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城域网行业企业观点综述及专家建议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图表：我国城域网行业所处生命周期示意图</w:t>
      </w:r>
    </w:p>
    <w:p>
      <w:pPr>
        <w:spacing w:after="150"/>
      </w:pPr>
      <w:r>
        <w:rPr/>
        <w:t xml:space="preserve">图表：行业生命周期、战略及其特征</w:t>
      </w:r>
    </w:p>
    <w:p>
      <w:pPr>
        <w:spacing w:after="150"/>
      </w:pPr>
      <w:r>
        <w:rPr/>
        <w:t xml:space="preserve">图表：2005年—2019-2023年国内生产总值季度累计同比增长率(%)</w:t>
      </w:r>
    </w:p>
    <w:p>
      <w:pPr>
        <w:spacing w:after="150"/>
      </w:pPr>
      <w:r>
        <w:rPr/>
        <w:t xml:space="preserve">图表：2005年3月—2019-2023年6月工业增加值月度同比增长率(%)</w:t>
      </w:r>
    </w:p>
    <w:p>
      <w:pPr>
        <w:spacing w:after="150"/>
      </w:pPr>
      <w:r>
        <w:rPr/>
        <w:t xml:space="preserve">图表：2005年3月—2019-2023年6月社会消费品零售总额月度同比增长率(%)</w:t>
      </w:r>
    </w:p>
    <w:p>
      <w:pPr>
        <w:spacing w:after="150"/>
      </w:pPr>
      <w:r>
        <w:rPr/>
        <w:t xml:space="preserve">图表：2005年1-3月—2019-2023年1-6月固定资产投资完成额月度累计同比增长率(%)</w:t>
      </w:r>
    </w:p>
    <w:p>
      <w:pPr>
        <w:spacing w:after="150"/>
      </w:pPr>
      <w:r>
        <w:rPr/>
        <w:t xml:space="preserve">图表：2005年3月—2019-2023年6月出口总额月度同比增长率与进口总额月度同比增长率(%)</w:t>
      </w:r>
    </w:p>
    <w:p>
      <w:pPr>
        <w:spacing w:after="150"/>
      </w:pPr>
      <w:r>
        <w:rPr/>
        <w:t xml:space="preserve">图表：2005年3月—2019-2023年6月居民消费价格指数(上年同月=100)</w:t>
      </w:r>
    </w:p>
    <w:p>
      <w:pPr>
        <w:spacing w:after="150"/>
      </w:pPr>
      <w:r>
        <w:rPr/>
        <w:t xml:space="preserve">图表：2005年3月—2019-2023年6月工业品出厂价格指数(上年同月=100)</w:t>
      </w:r>
    </w:p>
    <w:p>
      <w:pPr>
        <w:spacing w:after="150"/>
      </w:pPr>
      <w:r>
        <w:rPr/>
        <w:t xml:space="preserve">图表：2005年3月—2019-2023年6月货币供应量月度同比增长率(%)</w:t>
      </w:r>
    </w:p>
    <w:p>
      <w:pPr>
        <w:spacing w:after="150"/>
      </w:pPr>
      <w:r>
        <w:rPr/>
        <w:t xml:space="preserve">图表：2019-2023年我国城域网行业分地区固定资产投资增速情况</w:t>
      </w:r>
    </w:p>
    <w:p>
      <w:pPr>
        <w:spacing w:after="150"/>
      </w:pPr>
      <w:r>
        <w:rPr/>
        <w:t xml:space="preserve">图表：2019-2023年中国城域网各地区市场容量对比</w:t>
      </w:r>
    </w:p>
    <w:p>
      <w:pPr>
        <w:spacing w:after="150"/>
      </w:pPr>
      <w:r>
        <w:rPr/>
        <w:t xml:space="preserve">图表：近3年中兴通讯固定资产周转次数情况</w:t>
      </w:r>
    </w:p>
    <w:p>
      <w:pPr>
        <w:spacing w:after="150"/>
      </w:pPr>
      <w:r>
        <w:rPr/>
        <w:t xml:space="preserve">图表：近3年中兴通讯流动资产周转次数变化情况</w:t>
      </w:r>
    </w:p>
    <w:p>
      <w:pPr>
        <w:spacing w:after="150"/>
      </w:pPr>
      <w:r>
        <w:rPr/>
        <w:t xml:space="preserve">图表：近3年中兴通讯总资产周转次数变化情况</w:t>
      </w:r>
    </w:p>
    <w:p>
      <w:pPr>
        <w:spacing w:after="150"/>
      </w:pPr>
      <w:r>
        <w:rPr/>
        <w:t xml:space="preserve">图表：近3年中兴通讯销售毛利率变化情况</w:t>
      </w:r>
    </w:p>
    <w:p>
      <w:pPr>
        <w:spacing w:after="150"/>
      </w:pPr>
      <w:r>
        <w:rPr/>
        <w:t xml:space="preserve">图表：近3年中兴通讯资产负债率变化情况</w:t>
      </w:r>
    </w:p>
    <w:p>
      <w:pPr>
        <w:spacing w:after="150"/>
      </w:pPr>
      <w:r>
        <w:rPr/>
        <w:t xml:space="preserve">图表：近3年中兴通讯产权比率变化情况</w:t>
      </w:r>
    </w:p>
    <w:p>
      <w:pPr>
        <w:spacing w:after="150"/>
      </w:pPr>
      <w:r>
        <w:rPr/>
        <w:t xml:space="preserve">图表：近3年华为技术有限公司固定资产周转次数情况</w:t>
      </w:r>
    </w:p>
    <w:p>
      <w:pPr>
        <w:spacing w:after="150"/>
      </w:pPr>
      <w:r>
        <w:rPr/>
        <w:t xml:space="preserve">图表：近3年华为技术有限公司流动资产周转次数变化情况</w:t>
      </w:r>
    </w:p>
    <w:p>
      <w:pPr>
        <w:spacing w:after="150"/>
      </w:pPr>
      <w:r>
        <w:rPr/>
        <w:t xml:space="preserve">图表：近3年华为技术有限公司总资产周转次数变化情况</w:t>
      </w:r>
    </w:p>
    <w:p>
      <w:pPr>
        <w:spacing w:after="150"/>
      </w:pPr>
      <w:r>
        <w:rPr/>
        <w:t xml:space="preserve">图表：近3年华为技术有限公司销售毛利率变化情况</w:t>
      </w:r>
    </w:p>
    <w:p>
      <w:pPr>
        <w:spacing w:after="150"/>
      </w:pPr>
      <w:r>
        <w:rPr/>
        <w:t xml:space="preserve">图表：近3年华为技术有限公司资产负债率变化情况</w:t>
      </w:r>
    </w:p>
    <w:p>
      <w:pPr>
        <w:spacing w:after="150"/>
      </w:pPr>
      <w:r>
        <w:rPr/>
        <w:t xml:space="preserve">图表：近3年华为技术有限公司产权比率变化情况</w:t>
      </w:r>
    </w:p>
    <w:p>
      <w:pPr>
        <w:spacing w:after="150"/>
      </w:pPr>
      <w:r>
        <w:rPr/>
        <w:t xml:space="preserve">图表：近3年北电网络(中国)有限公司固定资产周转次数情况</w:t>
      </w:r>
    </w:p>
    <w:p>
      <w:pPr>
        <w:spacing w:after="150"/>
      </w:pPr>
      <w:r>
        <w:rPr/>
        <w:t xml:space="preserve">图表：近3年北电网络(中国)有限公司流动资产周转次数变化情况</w:t>
      </w:r>
    </w:p>
    <w:p>
      <w:pPr>
        <w:spacing w:after="150"/>
      </w:pPr>
      <w:r>
        <w:rPr/>
        <w:t xml:space="preserve">图表：近3年北电网络(中国)有限公司总资产周转次数变化情况</w:t>
      </w:r>
    </w:p>
    <w:p>
      <w:pPr>
        <w:spacing w:after="150"/>
      </w:pPr>
      <w:r>
        <w:rPr/>
        <w:t xml:space="preserve">图表：近3年北电网络(中国)有限公司销售毛利率变化情况</w:t>
      </w:r>
    </w:p>
    <w:p>
      <w:pPr>
        <w:spacing w:after="150"/>
      </w:pPr>
      <w:r>
        <w:rPr/>
        <w:t xml:space="preserve">图表：近3年北电网络(中国)有限公司资产负债率变化情况</w:t>
      </w:r>
    </w:p>
    <w:p>
      <w:pPr>
        <w:spacing w:after="150"/>
      </w:pPr>
      <w:r>
        <w:rPr/>
        <w:t xml:space="preserve">图表：近3年北电网络(中国)有限公司产权比率变化情况</w:t>
      </w:r>
    </w:p>
    <w:p>
      <w:pPr>
        <w:spacing w:after="150"/>
      </w:pPr>
      <w:r>
        <w:rPr/>
        <w:t xml:space="preserve">图表：近3年长城宽带网络服务有限公司固定资产周转次数情况</w:t>
      </w:r>
    </w:p>
    <w:p>
      <w:pPr>
        <w:spacing w:after="150"/>
      </w:pPr>
      <w:r>
        <w:rPr/>
        <w:t xml:space="preserve">图表：近3年长城宽带网络服务有限公司流动资产周转次数变化情况</w:t>
      </w:r>
    </w:p>
    <w:p>
      <w:pPr>
        <w:spacing w:after="150"/>
      </w:pPr>
      <w:r>
        <w:rPr/>
        <w:t xml:space="preserve">图表：近3年长城宽带网络服务有限公司总资产周转次数变化情况</w:t>
      </w:r>
    </w:p>
    <w:p>
      <w:pPr>
        <w:spacing w:after="150"/>
      </w:pPr>
      <w:r>
        <w:rPr/>
        <w:t xml:space="preserve">图表：近3年长城宽带网络服务有限公司销售毛利率变化情况</w:t>
      </w:r>
    </w:p>
    <w:p>
      <w:pPr>
        <w:spacing w:after="150"/>
      </w:pPr>
      <w:r>
        <w:rPr/>
        <w:t xml:space="preserve">图表：近3年长城宽带网络服务有限公司资产负债率变化情况</w:t>
      </w:r>
    </w:p>
    <w:p>
      <w:pPr>
        <w:spacing w:after="150"/>
      </w:pPr>
      <w:r>
        <w:rPr/>
        <w:t xml:space="preserve">图表：近3年长城宽带网络服务有限公司产权比率变化情况</w:t>
      </w:r>
    </w:p>
    <w:p>
      <w:pPr>
        <w:spacing w:after="150"/>
      </w:pPr>
      <w:r>
        <w:rPr/>
        <w:t xml:space="preserve">图表：近3年北京电信通电信工程有限公司固定资产周转次数情况</w:t>
      </w:r>
    </w:p>
    <w:p>
      <w:pPr>
        <w:spacing w:after="150"/>
      </w:pPr>
      <w:r>
        <w:rPr/>
        <w:t xml:space="preserve">图表：近3年北京电信通电信工程有限公司流动资产周转次数变化情况</w:t>
      </w:r>
    </w:p>
    <w:p>
      <w:pPr>
        <w:spacing w:after="150"/>
      </w:pPr>
      <w:r>
        <w:rPr/>
        <w:t xml:space="preserve">图表：近3年北京电信通电信工程有限公司总资产周转次数变化情况</w:t>
      </w:r>
    </w:p>
    <w:p>
      <w:pPr>
        <w:spacing w:after="150"/>
      </w:pPr>
      <w:r>
        <w:rPr/>
        <w:t xml:space="preserve">图表：近3年北京电信通电信工程有限公司销售毛利率变化情况</w:t>
      </w:r>
    </w:p>
    <w:p>
      <w:pPr>
        <w:spacing w:after="150"/>
      </w:pPr>
      <w:r>
        <w:rPr/>
        <w:t xml:space="preserve">图表：近3年北京电信通电信工程有限公司资产负债率变化情况</w:t>
      </w:r>
    </w:p>
    <w:p>
      <w:pPr>
        <w:spacing w:after="150"/>
      </w:pPr>
      <w:r>
        <w:rPr/>
        <w:t xml:space="preserve">图表：近3年北京电信通电信工程有限公司产权比率变化情况</w:t>
      </w:r>
    </w:p>
    <w:p>
      <w:pPr>
        <w:spacing w:after="150"/>
      </w:pPr>
      <w:r>
        <w:rPr/>
        <w:t xml:space="preserve">图表：2019-2023年同期华北地区城域网行业市场容量</w:t>
      </w:r>
    </w:p>
    <w:p>
      <w:pPr>
        <w:spacing w:after="150"/>
      </w:pPr>
      <w:r>
        <w:rPr/>
        <w:t xml:space="preserve">图表：2019-2023年同期华东地区城域网行业市场容量</w:t>
      </w:r>
    </w:p>
    <w:p>
      <w:pPr>
        <w:spacing w:after="150"/>
      </w:pPr>
      <w:r>
        <w:rPr/>
        <w:t xml:space="preserve">图表：2019-2023年同期东北地区城域网行业市场容量</w:t>
      </w:r>
    </w:p>
    <w:p>
      <w:pPr>
        <w:spacing w:after="150"/>
      </w:pPr>
      <w:r>
        <w:rPr/>
        <w:t xml:space="preserve">图表：2019-2023年同期华南地区城域网行业市场容量</w:t>
      </w:r>
    </w:p>
    <w:p>
      <w:pPr>
        <w:spacing w:after="150"/>
      </w:pPr>
      <w:r>
        <w:rPr/>
        <w:t xml:space="preserve">图表：2019-2023年同期西北地区城域网行业产市场容量</w:t>
      </w:r>
    </w:p>
    <w:p>
      <w:pPr>
        <w:spacing w:after="150"/>
      </w:pPr>
      <w:r>
        <w:rPr/>
        <w:t xml:space="preserve">图表：2019-2023年同期西南地区城域网行业市场容量</w:t>
      </w:r>
    </w:p>
    <w:p>
      <w:pPr>
        <w:spacing w:after="150"/>
      </w:pPr>
      <w:r>
        <w:rPr/>
        <w:t xml:space="preserve">图表：2019-2023年同期华中地区城域网行业市场容量</w:t>
      </w:r>
    </w:p>
    <w:p>
      <w:pPr>
        <w:spacing w:after="150"/>
      </w:pPr>
      <w:r>
        <w:rPr/>
        <w:t xml:space="preserve">图表：近4年中兴通讯固定资产周转次数情况</w:t>
      </w:r>
    </w:p>
    <w:p>
      <w:pPr>
        <w:spacing w:after="150"/>
      </w:pPr>
      <w:r>
        <w:rPr/>
        <w:t xml:space="preserve">图表：近4年中兴通讯流动资产周转次数变化情况</w:t>
      </w:r>
    </w:p>
    <w:p>
      <w:pPr>
        <w:spacing w:after="150"/>
      </w:pPr>
      <w:r>
        <w:rPr/>
        <w:t xml:space="preserve">图表：近4年中兴通讯总资产周转次数变化情况</w:t>
      </w:r>
    </w:p>
    <w:p>
      <w:pPr>
        <w:spacing w:after="150"/>
      </w:pPr>
      <w:r>
        <w:rPr/>
        <w:t xml:space="preserve">图表：近4年中兴通讯销售毛利率变化情况</w:t>
      </w:r>
    </w:p>
    <w:p>
      <w:pPr>
        <w:spacing w:after="150"/>
      </w:pPr>
      <w:r>
        <w:rPr/>
        <w:t xml:space="preserve">图表：近4年中兴通讯资产负债率变化情况</w:t>
      </w:r>
    </w:p>
    <w:p>
      <w:pPr>
        <w:spacing w:after="150"/>
      </w:pPr>
      <w:r>
        <w:rPr/>
        <w:t xml:space="preserve">图表：近4年中兴通讯产权比率变化情况</w:t>
      </w:r>
    </w:p>
    <w:p>
      <w:pPr>
        <w:spacing w:after="150"/>
      </w:pPr>
      <w:r>
        <w:rPr/>
        <w:t xml:space="preserve">图表：近4年华为技术有限公司固定资产周转次数情况</w:t>
      </w:r>
    </w:p>
    <w:p>
      <w:pPr>
        <w:spacing w:after="150"/>
      </w:pPr>
      <w:r>
        <w:rPr/>
        <w:t xml:space="preserve">图表：近4年华为技术有限公司流动资产周转次数变化情况</w:t>
      </w:r>
    </w:p>
    <w:p>
      <w:pPr>
        <w:spacing w:after="150"/>
      </w:pPr>
      <w:r>
        <w:rPr/>
        <w:t xml:space="preserve">图表：近4年华为技术有限公司总资产周转次数变化情况</w:t>
      </w:r>
    </w:p>
    <w:p>
      <w:pPr>
        <w:spacing w:after="150"/>
      </w:pPr>
      <w:r>
        <w:rPr/>
        <w:t xml:space="preserve">图表：近4年华为技术有限公司销售毛利率变化情况</w:t>
      </w:r>
    </w:p>
    <w:p>
      <w:pPr>
        <w:spacing w:after="150"/>
      </w:pPr>
      <w:r>
        <w:rPr/>
        <w:t xml:space="preserve">图表：近4年华为技术有限公司资产负债率变化情况</w:t>
      </w:r>
    </w:p>
    <w:p>
      <w:pPr>
        <w:spacing w:after="150"/>
      </w:pPr>
      <w:r>
        <w:rPr/>
        <w:t xml:space="preserve">图表：近4年华为技术有限公司产权比率变化情况</w:t>
      </w:r>
    </w:p>
    <w:p>
      <w:pPr>
        <w:spacing w:after="150"/>
      </w:pPr>
      <w:r>
        <w:rPr/>
        <w:t xml:space="preserve">图表：近4年北电网络(中国)有限公司固定资产周转次数情况</w:t>
      </w:r>
    </w:p>
    <w:p>
      <w:pPr>
        <w:spacing w:after="150"/>
      </w:pPr>
      <w:r>
        <w:rPr/>
        <w:t xml:space="preserve">图表：近4年北电网络(中国)有限公司流动资产周转次数变化情况</w:t>
      </w:r>
    </w:p>
    <w:p>
      <w:pPr>
        <w:spacing w:after="150"/>
      </w:pPr>
      <w:r>
        <w:rPr/>
        <w:t xml:space="preserve">图表：近4年北电网络(中国)有限公司总资产周转次数变化情况</w:t>
      </w:r>
    </w:p>
    <w:p>
      <w:pPr>
        <w:spacing w:after="150"/>
      </w:pPr>
      <w:r>
        <w:rPr/>
        <w:t xml:space="preserve">图表：近4年北电网络(中国)有限公司销售毛利率变化情况</w:t>
      </w:r>
    </w:p>
    <w:p>
      <w:pPr>
        <w:spacing w:after="150"/>
      </w:pPr>
      <w:r>
        <w:rPr/>
        <w:t xml:space="preserve">图表：近4年北电网络(中国)有限公司资产负债率变化情况</w:t>
      </w:r>
    </w:p>
    <w:p>
      <w:pPr>
        <w:spacing w:after="150"/>
      </w:pPr>
      <w:r>
        <w:rPr/>
        <w:t xml:space="preserve">图表：近4年北电网络(中国)有限公司产权比率变化情况</w:t>
      </w:r>
    </w:p>
    <w:p>
      <w:pPr>
        <w:spacing w:after="150"/>
      </w:pPr>
      <w:r>
        <w:rPr/>
        <w:t xml:space="preserve">图表：近4年长城宽带网络服务有限公司固定资产周转次数情况</w:t>
      </w:r>
    </w:p>
    <w:p>
      <w:pPr>
        <w:spacing w:after="150"/>
      </w:pPr>
      <w:r>
        <w:rPr/>
        <w:t xml:space="preserve">图表：近4年长城宽带网络服务有限公司流动资产周转次数变化情况</w:t>
      </w:r>
    </w:p>
    <w:p>
      <w:pPr>
        <w:spacing w:after="150"/>
      </w:pPr>
      <w:r>
        <w:rPr/>
        <w:t xml:space="preserve">图表：近4年长城宽带网络服务有限公司总资产周转次数变化情况</w:t>
      </w:r>
    </w:p>
    <w:p>
      <w:pPr>
        <w:spacing w:after="150"/>
      </w:pPr>
      <w:r>
        <w:rPr/>
        <w:t xml:space="preserve">图表：近4年长城宽带网络服务有限公司销售毛利率变化情况</w:t>
      </w:r>
    </w:p>
    <w:p>
      <w:pPr>
        <w:spacing w:after="150"/>
      </w:pPr>
      <w:r>
        <w:rPr/>
        <w:t xml:space="preserve">图表：近4年长城宽带网络服务有限公司资产负债率变化情况</w:t>
      </w:r>
    </w:p>
    <w:p>
      <w:pPr>
        <w:spacing w:after="150"/>
      </w:pPr>
      <w:r>
        <w:rPr/>
        <w:t xml:space="preserve">图表：近4年长城宽带网络服务有限公司产权比率变化情况</w:t>
      </w:r>
    </w:p>
    <w:p>
      <w:pPr>
        <w:spacing w:after="150"/>
      </w:pPr>
      <w:r>
        <w:rPr/>
        <w:t xml:space="preserve">图表：近4年北京电信通电信工程有限公司固定资产周转次数情况</w:t>
      </w:r>
    </w:p>
    <w:p>
      <w:pPr>
        <w:spacing w:after="150"/>
      </w:pPr>
      <w:r>
        <w:rPr/>
        <w:t xml:space="preserve">图表：近4年北京电信通电信工程有限公司流动资产周转次数变化情况</w:t>
      </w:r>
    </w:p>
    <w:p>
      <w:pPr>
        <w:spacing w:after="150"/>
      </w:pPr>
      <w:r>
        <w:rPr/>
        <w:t xml:space="preserve">图表：近4年北京电信通电信工程有限公司总资产周转次数变化情况</w:t>
      </w:r>
    </w:p>
    <w:p>
      <w:pPr>
        <w:spacing w:after="150"/>
      </w:pPr>
      <w:r>
        <w:rPr/>
        <w:t xml:space="preserve">图表：近4年北京电信通电信工程有限公司销售毛利率变化情况</w:t>
      </w:r>
    </w:p>
    <w:p>
      <w:pPr>
        <w:spacing w:after="150"/>
      </w:pPr>
      <w:r>
        <w:rPr/>
        <w:t xml:space="preserve">图表：近4年北京电信通电信工程有限公司资产负债率变化情况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2024-2029年中国城域网行业发展前景预测与投资战略规划分析报告</dc:title>
  <dc:description>2024-2029年中国城域网行业发展前景预测与投资战略规划分析报告</dc:description>
  <dc:subject>2024-2029年中国城域网行业发展前景预测与投资战略规划分析报告</dc:subject>
  <cp:keywords>研究报告</cp:keywords>
  <cp:category>研究报告</cp:category>
  <cp:lastModifiedBy>北京中道泰和信息咨询有限公司</cp:lastModifiedBy>
  <dcterms:created xsi:type="dcterms:W3CDTF">2024-01-23T01:55:47+08:00</dcterms:created>
  <dcterms:modified xsi:type="dcterms:W3CDTF">2024-01-23T01:55:47+08:00</dcterms:modified>
</cp:coreProperties>
</file>

<file path=docProps/custom.xml><?xml version="1.0" encoding="utf-8"?>
<Properties xmlns="http://schemas.openxmlformats.org/officeDocument/2006/custom-properties" xmlns:vt="http://schemas.openxmlformats.org/officeDocument/2006/docPropsVTypes"/>
</file>