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2024-2029年钢铁企业薪酬现状分析与未来发展趋势预测报告</w:t>
      </w:r>
    </w:p>
    <w:p>
      <w:pPr>
        <w:spacing w:after="150"/>
      </w:pPr>
      <w:r>
        <w:rPr>
          <w:b w:val="1"/>
          <w:bCs w:val="1"/>
        </w:rPr>
        <w:t xml:space="preserve">报告简介</w:t>
      </w:r>
    </w:p>
    <w:p>
      <w:pPr>
        <w:spacing w:after="150"/>
      </w:pPr>
      <w:r>
        <w:rPr/>
        <w:t xml:space="preserve">据统计，钢铁、水泥、电解铝、平板玻璃以及造船业属于当今产能过剩最突出的五大行业。而据部分机构统计的2012年数据显示，国内钢铁实际综合产能约9.76亿吨，而按照粗钢产量的7.31亿吨计算，则钢铁行业产能利用率仅为74.9%。如果从国家的产能过剩标准分析，74.9%的产能利用率属于中度的产能过剩。不过，在实际的操作中，钢铁行业的真实数据仍然受到了质疑。实际上，在过去几年中，钢铁产量的瞒报现象非常突出。在地方过分注重GDP政绩之际，钢铁业作为提升当地GDP的有力手段，地方自然不愿轻易放弃。再者，出于对当地的税收、就业等问题的考虑，钢铁行业的整合治理效果并不明显。除此以外，还存在着一个非常严峻的问题。即钢铁行业一边在淘汰产能，另一边却在加速扩大产能。据宇博智业了解，在钢铁产能不降反升的趋势下，民营钢铁企业的扩张速度非常明显。于是，国家对钢铁产能的约束效果最终无法达标。针对长期存在的各种问题，国内钢铁业仍需要经历一段漫长的苦日子。而解决上述的问题，目前只有两种手段，其一是弱化地方GDP政绩需求，降低地方对钢铁行业的依赖度;其二是强化市场化作用，削弱行政手段，让市场决定钢企的生死，最终达到提升行业效率的目标。</w:t>
      </w:r>
    </w:p>
    <w:p>
      <w:pPr>
        <w:spacing w:after="150"/>
      </w:pPr>
      <w:r>
        <w:rPr/>
        <w:t xml:space="preserve">认为要建立起一个合理、科学的钢铁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钢铁薪酬行业及各子行业的发展状况、上下游行业发展状况、市场供需形势、新产品与技术等进行了分析，并重点分析了我国钢铁薪酬行业发展状况和特点，以及中国钢铁薪酬行业将面临的挑战、企业的发展策略等。报告还对全球钢铁薪酬行业发展态势作了详细分析，并对钢铁薪酬行业进行了趋向研判，是钢铁薪酬生产、经营企业，科研、投资机构等单位准确了解目前钢铁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钢铁行业薪酬构成细项解析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钢铁行业薪酬环境分析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钢铁行业薪酬管理方法论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钢铁行业薪酬管理诊断指标展示(一个定性，四个定量)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钢铁行业薪酬人力资源管理现状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钢铁行业等级薪酬分析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钢铁行业薪酬内部公平性分析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钢铁行业薪酬外部竞争性分析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钢铁行业薪酬激励性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钢铁行业薪酬经济性分析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2019-2023年钢铁行业各区域企业薪酬发展分析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钢铁行业重点企业薪酬管理现状分析</w:t>
      </w:r>
    </w:p>
    <w:p>
      <w:pPr>
        <w:spacing w:after="150"/>
      </w:pPr>
      <w:r>
        <w:rPr/>
        <w:t xml:space="preserve">第一节 日照钢铁控股集团有限公司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五、企业人工薪酬占比</w:t>
      </w:r>
    </w:p>
    <w:p>
      <w:pPr>
        <w:spacing w:after="150"/>
      </w:pPr>
      <w:r>
        <w:rPr/>
        <w:t xml:space="preserve">第二节 首钢集团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鞍钢集团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武钢集团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沙钢集团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莱钢集团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济钢集团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邯钢集团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攀钢集团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唐钢集团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钢铁行业企业薪酬策略分析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2024-2029年钢铁行业企业薪酬发展建议分析</w:t>
      </w:r>
    </w:p>
    <w:p>
      <w:pPr>
        <w:spacing w:after="150"/>
      </w:pPr>
      <w:r>
        <w:rPr/>
        <w:t xml:space="preserve">第一节 钢铁行业企业薪酬研究结论及建议</w:t>
      </w:r>
    </w:p>
    <w:p>
      <w:pPr>
        <w:spacing w:after="150"/>
      </w:pPr>
      <w:r>
        <w:rPr/>
        <w:t xml:space="preserve">第二节 钢铁行业企业薪酬研究结论及建议</w:t>
      </w:r>
    </w:p>
    <w:p>
      <w:pPr>
        <w:spacing w:after="150"/>
      </w:pPr>
      <w:r>
        <w:rPr/>
        <w:t xml:space="preserve">第三节 钢铁行业企业薪酬竞争策略总结及建议</w:t>
      </w:r>
    </w:p>
    <w:p>
      <w:pPr>
        <w:spacing w:after="150"/>
      </w:pPr>
      <w:r>
        <w:rPr>
          <w:b w:val="1"/>
          <w:bCs w:val="1"/>
        </w:rPr>
        <w:t xml:space="preserve">图表目录</w:t>
      </w:r>
    </w:p>
    <w:p>
      <w:pPr>
        <w:spacing w:after="150"/>
      </w:pPr>
      <w:r>
        <w:rPr/>
        <w:t xml:space="preserve">图表：钢铁薪酬行业分类表</w:t>
      </w:r>
    </w:p>
    <w:p>
      <w:pPr>
        <w:spacing w:after="150"/>
      </w:pPr>
      <w:r>
        <w:rPr/>
        <w:t xml:space="preserve">图表：2019-2023年钢铁薪酬行业总产值及占gdp比重(单位：亿元，%)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图表：钢铁薪酬行业所处产业链示意图</w:t>
      </w:r>
    </w:p>
    <w:p>
      <w:pPr>
        <w:spacing w:after="150"/>
      </w:pPr>
      <w:r>
        <w:rPr/>
        <w:t xml:space="preserve">图表：中国钢铁薪酬主要消费群体特点分析(元)</w:t>
      </w:r>
    </w:p>
    <w:p>
      <w:pPr>
        <w:spacing w:after="150"/>
      </w:pPr>
      <w:r>
        <w:rPr/>
        <w:t xml:space="preserve">图表：2019-2023年钢铁行业管理层工资分布情况</w:t>
      </w:r>
    </w:p>
    <w:p>
      <w:pPr>
        <w:spacing w:after="150"/>
      </w:pPr>
      <w:r>
        <w:rPr/>
        <w:t xml:space="preserve">图表：2019-2023年钢铁行业普通员工工资分析</w:t>
      </w:r>
    </w:p>
    <w:p>
      <w:pPr>
        <w:spacing w:after="150"/>
      </w:pPr>
      <w:r>
        <w:rPr/>
        <w:t xml:space="preserve">图表：2019-2023年钢铁行业管理成本分析</w:t>
      </w:r>
    </w:p>
    <w:p>
      <w:pPr>
        <w:spacing w:after="150"/>
      </w:pPr>
      <w:r>
        <w:rPr/>
        <w:t xml:space="preserve">图表：2019-2023年钢铁行业人力资源分布图分析</w:t>
      </w:r>
    </w:p>
    <w:p>
      <w:pPr>
        <w:spacing w:after="150"/>
      </w:pPr>
      <w:r>
        <w:rPr/>
        <w:t xml:space="preserve">图表：2019-2023年钢铁行业中层员工工资分析</w:t>
      </w:r>
    </w:p>
    <w:p>
      <w:pPr>
        <w:spacing w:after="150"/>
      </w:pPr>
      <w:r>
        <w:rPr/>
        <w:t xml:space="preserve">图表：2019-2023年钢铁行业工资增长变化情况</w:t>
      </w:r>
    </w:p>
    <w:p>
      <w:pPr>
        <w:spacing w:after="150"/>
      </w:pPr>
      <w:r>
        <w:rPr/>
        <w:t xml:space="preserve">图表：2019-2023年钢铁行业管理层变化情况</w:t>
      </w:r>
    </w:p>
    <w:p>
      <w:pPr>
        <w:spacing w:after="150"/>
      </w:pPr>
      <w:r>
        <w:rPr/>
        <w:t xml:space="preserve">图表：2019-2023年钢铁行业销售费用变化情况</w:t>
      </w:r>
    </w:p>
    <w:p>
      <w:pPr>
        <w:spacing w:after="150"/>
      </w:pPr>
      <w:r>
        <w:rPr/>
        <w:t xml:space="preserve">图表：2019-2023年钢铁行业销售费用占比变化情况</w:t>
      </w:r>
    </w:p>
    <w:p>
      <w:pPr>
        <w:spacing w:after="150"/>
      </w:pPr>
      <w:r>
        <w:rPr/>
        <w:t xml:space="preserve">图表：2024-2029年钢铁行业管理成本预测</w:t>
      </w:r>
    </w:p>
    <w:p>
      <w:pPr>
        <w:spacing w:after="150"/>
      </w:pPr>
      <w:r>
        <w:rPr/>
        <w:t xml:space="preserve">图表：2024-2029年中国钢铁行业工资收入预测</w:t>
      </w:r>
    </w:p>
    <w:p>
      <w:pPr>
        <w:spacing w:after="150"/>
      </w:pPr>
      <w:r>
        <w:rPr/>
        <w:t xml:space="preserve">图表：钢铁行业规划品牌目标</w:t>
      </w:r>
    </w:p>
    <w:p>
      <w:pPr>
        <w:spacing w:after="150"/>
      </w:pPr>
      <w:r>
        <w:rPr/>
        <w:t xml:space="preserve">图表：钢铁行业新产品份额规划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2024-2029年钢铁企业薪酬现状分析与未来发展趋势预测报告</dc:title>
  <dc:description>2024-2029年钢铁企业薪酬现状分析与未来发展趋势预测报告</dc:description>
  <dc:subject>2024-2029年钢铁企业薪酬现状分析与未来发展趋势预测报告</dc:subject>
  <cp:keywords>研究报告</cp:keywords>
  <cp:category>研究报告</cp:category>
  <cp:lastModifiedBy>北京中道泰和信息咨询有限公司</cp:lastModifiedBy>
  <dcterms:created xsi:type="dcterms:W3CDTF">2024-01-22T21:27:13+08:00</dcterms:created>
  <dcterms:modified xsi:type="dcterms:W3CDTF">2024-01-22T21:27:13+08:00</dcterms:modified>
</cp:coreProperties>
</file>

<file path=docProps/custom.xml><?xml version="1.0" encoding="utf-8"?>
<Properties xmlns="http://schemas.openxmlformats.org/officeDocument/2006/custom-properties" xmlns:vt="http://schemas.openxmlformats.org/officeDocument/2006/docPropsVTypes"/>
</file>