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2024-2029年中国期货行业全景调研与发展战略研究咨询报告</w:t>
      </w:r>
    </w:p>
    <w:p>
      <w:pPr>
        <w:spacing w:after="150"/>
      </w:pPr>
      <w:r>
        <w:rPr>
          <w:b w:val="1"/>
          <w:bCs w:val="1"/>
        </w:rPr>
        <w:t xml:space="preserve">报告简介</w:t>
      </w:r>
    </w:p>
    <w:p>
      <w:pPr>
        <w:spacing w:after="150"/>
      </w:pPr>
      <w:r>
        <w:rPr/>
        <w:t xml:space="preserve">为了努力建设全球重要的大宗商品定价中心和风险管理中心，在资本市场方面，要引进更多境外交易者，让商品国际化步伐明显加速。金融市场开放步伐加快，将有利于我国深入参与全球化发展进程。原油、铁矿石期货成功推出后，PTA国际化、铜期权、白糖期权、豆粕期权相继上市。特别是原油期货，历经17载，最终以“国际平台、人民币计价、净价交易、保税交割”的姿态面世。自上市以来，原油期货吸引了境内外大型石油公司及贸易企业等积极参与，得到了市场的广泛认可。同时，它为境内期货特定品种引入境外交易者提供了可复制、可推广的路径与方法。证监会在研究推进资本市场改革发展和稳定工作时明确提出，要进一步提升资本市场对外开放水平，有序扩大期货特定品种开放范围。这预示着未来国内会有更多期货品种对外开放。</w:t>
      </w:r>
    </w:p>
    <w:p>
      <w:pPr>
        <w:spacing w:after="150"/>
      </w:pPr>
      <w:r>
        <w:rPr/>
        <w:t xml:space="preserve">新品种的成功推出为国民经济相关产业管理风险提供了更多选择。目前，我国已上市期货期权品种58个，其中，商品期货49个，金融期货6个，商品期权3个，基本覆盖了国民经济的主要领域。伴随着期货市场的发展，我国大宗商品定价体系将进一步完善，今年尿素期货、生猪期货、纯碱期货等新品种也将陆续推出，满足市场对风险管理的深层需求，并给市场注入新的活力。</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2024-2029年期货行业竞争形势及策略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期货市场竞争策略分析</w:t>
      </w:r>
    </w:p>
    <w:p>
      <w:pPr>
        <w:spacing w:after="150"/>
      </w:pPr>
      <w:r>
        <w:rPr>
          <w:b w:val="1"/>
          <w:bCs w:val="1"/>
        </w:rPr>
        <w:t xml:space="preserve">第十二章 2024-2029年期货行业领先企业经营形势分析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鲁证期货股份有限公司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华信期货股份有限公司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五矿经易期货有限公司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1、获期货ib业务资格的券商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第六节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第二节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三、中国期货公司发展的相关建议</w:t>
      </w:r>
    </w:p>
    <w:p>
      <w:pPr>
        <w:spacing w:after="150"/>
      </w:pPr>
      <w:r>
        <w:rPr/>
        <w:t xml:space="preserve">第三节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第四节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图表：2019-2023年四大交易所手续费下调情况</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图表：2019-2023年中国国内生产总值及其增长速度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图表：2024-2029年中国期货成交量与成交额变化趋势</w:t>
      </w:r>
    </w:p>
    <w:p>
      <w:pPr>
        <w:spacing w:after="150"/>
      </w:pPr>
      <w:r>
        <w:rPr/>
        <w:t xml:space="preserve">图表：2024-2029年中国期货月度成交量与成交额趋势</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图表：2024-2029年中国农副产品期货成交量分布预测</w:t>
      </w:r>
    </w:p>
    <w:p>
      <w:pPr>
        <w:spacing w:after="150"/>
      </w:pPr>
      <w:r>
        <w:rPr/>
        <w:t xml:space="preserve">图表：2024-2029年中国农副产品期货成交额分布预测</w:t>
      </w:r>
    </w:p>
    <w:p>
      <w:pPr>
        <w:spacing w:after="150"/>
      </w:pPr>
      <w:r>
        <w:rPr/>
        <w:t xml:space="preserve">图表：2024-2029年中国金属产品期货成交量分布预测</w:t>
      </w:r>
    </w:p>
    <w:p>
      <w:pPr>
        <w:spacing w:after="150"/>
      </w:pPr>
      <w:r>
        <w:rPr/>
        <w:t xml:space="preserve">图表：2024-2029年中国金属产品期货成交额分布预测</w:t>
      </w:r>
    </w:p>
    <w:p>
      <w:pPr>
        <w:spacing w:after="150"/>
      </w:pPr>
      <w:r>
        <w:rPr/>
        <w:t xml:space="preserve">图表：2024-2029年中国能源产品期货成交量分布预测</w:t>
      </w:r>
    </w:p>
    <w:p>
      <w:pPr>
        <w:spacing w:after="150"/>
      </w:pPr>
      <w:r>
        <w:rPr/>
        <w:t xml:space="preserve">图表：2024-2029年中国能源产品期货成交额分布预测</w:t>
      </w:r>
    </w:p>
    <w:p>
      <w:pPr>
        <w:spacing w:after="150"/>
      </w:pPr>
      <w:r>
        <w:rPr/>
        <w:t xml:space="preserve">图表：2024-2029年中国化工产品期货成交趋势预测</w:t>
      </w:r>
    </w:p>
    <w:p>
      <w:pPr>
        <w:spacing w:after="150"/>
      </w:pPr>
      <w:r>
        <w:rPr/>
        <w:t xml:space="preserve">图表：2024-2029年中国化工产品期货成交量分布预测</w:t>
      </w:r>
    </w:p>
    <w:p>
      <w:pPr>
        <w:spacing w:after="150"/>
      </w:pPr>
      <w:r>
        <w:rPr/>
        <w:t xml:space="preserve">图表：2024-2029年中国化工产品期货成交额分布预测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2024-2029年中国期货行业全景调研与发展战略研究咨询报告</dc:title>
  <dc:description>2024-2029年中国期货行业全景调研与发展战略研究咨询报告</dc:description>
  <dc:subject>2024-2029年中国期货行业全景调研与发展战略研究咨询报告</dc:subject>
  <cp:keywords>研究报告</cp:keywords>
  <cp:category>研究报告</cp:category>
  <cp:lastModifiedBy>北京中道泰和信息咨询有限公司</cp:lastModifiedBy>
  <dcterms:created xsi:type="dcterms:W3CDTF">2024-01-25T12:33:21+08:00</dcterms:created>
  <dcterms:modified xsi:type="dcterms:W3CDTF">2024-01-25T12:33:21+08:00</dcterms:modified>
</cp:coreProperties>
</file>

<file path=docProps/custom.xml><?xml version="1.0" encoding="utf-8"?>
<Properties xmlns="http://schemas.openxmlformats.org/officeDocument/2006/custom-properties" xmlns:vt="http://schemas.openxmlformats.org/officeDocument/2006/docPropsVTypes"/>
</file>