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2024-2029年中国煤制天然气行业全景调研与投资趋势预测报告</w:t>
      </w:r>
    </w:p>
    <w:p>
      <w:pPr>
        <w:spacing w:after="150"/>
      </w:pPr>
      <w:r>
        <w:rPr>
          <w:b w:val="1"/>
          <w:bCs w:val="1"/>
        </w:rPr>
        <w:t xml:space="preserve">报告简介</w:t>
      </w:r>
    </w:p>
    <w:p>
      <w:pPr>
        <w:spacing w:after="150"/>
      </w:pPr>
      <w:r>
        <w:rPr/>
        <w:t xml:space="preserve">而随着国内对天然气等低碳清洁能源需求量的增大，能源供给的结构性矛盾日益突出。煤制气工业，也因此成为了中国能源行业转型的重要探索之一。</w:t>
      </w:r>
    </w:p>
    <w:p>
      <w:pPr>
        <w:spacing w:after="150"/>
      </w:pPr>
      <w:r>
        <w:rPr/>
        <w:t xml:space="preserve">发展煤制气产业是立足国内能源资源禀赋国情，增强国内天然气供应能力的重要途径。在现有煤制气产能基础上，加大示范项目建设力度，推进战略技术储备和产能储备任务落实。目前国内已有煤制气的关键装备，不仅在很大程度上依赖国外，且传统煤制气工艺的能耗、水资源消耗等较大。有研究指出，从全生命周期过程来看，煤制天然气的一次能源消耗和二氧化碳排放均高于被替代的传统能源和技术。煤制天然气作为清洁产业，极大地节约了煤炭资源，提升了煤炭价值。随着技术的进步，煤制气项目对区域水资源的影响也大幅改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一、煤制天然气技术专利分析</w:t>
      </w:r>
    </w:p>
    <w:p>
      <w:pPr>
        <w:spacing w:after="150"/>
      </w:pPr>
      <w:r>
        <w:rPr/>
        <w:t xml:space="preserve">二、煤制天然气技术发展水平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t xml:space="preserve">第三节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一、煤制气项目数量分析</w:t>
      </w:r>
    </w:p>
    <w:p>
      <w:pPr>
        <w:spacing w:after="150"/>
      </w:pPr>
      <w:r>
        <w:rPr/>
        <w:t xml:space="preserve">二、煤制气新投产项目数量分析</w:t>
      </w:r>
    </w:p>
    <w:p>
      <w:pPr>
        <w:spacing w:after="150"/>
      </w:pPr>
      <w:r>
        <w:rPr/>
        <w:t xml:space="preserve">三、中国煤制天然气产能分析</w:t>
      </w:r>
    </w:p>
    <w:p>
      <w:pPr>
        <w:spacing w:after="150"/>
      </w:pPr>
      <w:r>
        <w:rPr/>
        <w:t xml:space="preserve">四、中国煤制天然气新增产能分析</w:t>
      </w:r>
    </w:p>
    <w:p>
      <w:pPr>
        <w:spacing w:after="150"/>
      </w:pPr>
      <w:r>
        <w:rPr/>
        <w:t xml:space="preserve">五、中国煤制天然气产量分析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2、LPG.shtml target=_blank class=infotextkey&gt;液化石油气消费分析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煤制天然气行业重点区域发展分析</w:t>
      </w:r>
    </w:p>
    <w:p>
      <w:pPr>
        <w:spacing w:after="150"/>
      </w:pPr>
      <w:r>
        <w:rPr/>
        <w:t xml:space="preserve">第一节 内蒙古地区煤制天然气发展分析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第二节 新疆地区煤制天然气发展分析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第三节 山西地区煤制天然气发展分析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第四节 宁夏地区煤制天然气发展分析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b w:val="1"/>
          <w:bCs w:val="1"/>
        </w:rPr>
        <w:t xml:space="preserve">第八章 2024-2029年煤制天然气行业领先企业经营形势分析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大同煤业股份有限公司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第九章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第十一章 煤制天然气行业发展战略研究</w:t>
      </w:r>
    </w:p>
    <w:p>
      <w:pPr>
        <w:spacing w:after="150"/>
      </w:pPr>
      <w:r>
        <w:rPr/>
        <w:t xml:space="preserve">第一节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第二节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第三节 煤制天然气行业投资战略研究</w:t>
      </w:r>
    </w:p>
    <w:p>
      <w:pPr>
        <w:spacing w:after="150"/>
      </w:pPr>
      <w:r>
        <w:rPr/>
        <w:t xml:space="preserve">一、2019-2023年煤制天然气企业投资战略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图表：2019-2023年煤制天然气行业产能分析</w:t>
      </w:r>
    </w:p>
    <w:p>
      <w:pPr>
        <w:spacing w:after="150"/>
      </w:pPr>
      <w:r>
        <w:rPr/>
        <w:t xml:space="preserve">图表：2019-2023年煤制天然气行业产量分析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2024-2029年中国煤制天然气行业全景调研与投资趋势预测报告</dc:title>
  <dc:description>2024-2029年中国煤制天然气行业全景调研与投资趋势预测报告</dc:description>
  <dc:subject>2024-2029年中国煤制天然气行业全景调研与投资趋势预测报告</dc:subject>
  <cp:keywords>研究报告</cp:keywords>
  <cp:category>研究报告</cp:category>
  <cp:lastModifiedBy>北京中道泰和信息咨询有限公司</cp:lastModifiedBy>
  <dcterms:created xsi:type="dcterms:W3CDTF">2024-01-24T22:03:11+08:00</dcterms:created>
  <dcterms:modified xsi:type="dcterms:W3CDTF">2024-01-24T22:03:11+08:00</dcterms:modified>
</cp:coreProperties>
</file>

<file path=docProps/custom.xml><?xml version="1.0" encoding="utf-8"?>
<Properties xmlns="http://schemas.openxmlformats.org/officeDocument/2006/custom-properties" xmlns:vt="http://schemas.openxmlformats.org/officeDocument/2006/docPropsVTypes"/>
</file>