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2018年，中国软件和信息技术服务业运行态势良好，收入和效益保持较快增长，吸纳就业人数稳步增加;产业向高质量方向发展步伐加快，结构持续调整优化，新的增长点不断涌现，服务和支撑两个强国建设能力显著增强，正在成为数字经济发展、智慧社会演进的重要驱动力量。2018年，全国软件和信息技术服务业规模以上企业3.78万家，累计完成软件业务收入63061亿元，同比增长14.2%。实现利润总额8079亿元，同比增长9.7%;行业人均创造业务收入98.06万元，同比增长9.6%，高质量发展成效初显。</w:t>
      </w:r>
    </w:p>
    <w:p>
      <w:pPr>
        <w:spacing w:after="150"/>
      </w:pPr>
      <w:r>
        <w:rPr/>
        <w:t xml:space="preserve">2019年1-9月，中国软件业务收入保持较快增长，利润总额增速小幅回升，软件出口小幅回落，从业人员工资水平小幅回落。2019年1-9月，我国软件业完成软件业务收入51896 亿元，同比增长15.2%。软件产品实现收入14643亿元，同比增长14.4%;信息技术服务实现收入30670亿元，同比增长17.2%。全行业实现利润总额6518亿元，同比增长10.8%。软件业实现出口344亿美元，同比增长2.8%。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2019年中国软件行业市场规模约达7.26亿元，到2025年行业市场规模将达15.66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四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1、《“十四五”国家信息化规划》</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4、《“十四五”促进就业规划》</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【软件行业“十四五”规划进展如何?未来软件行业发展前景怎样?有些什么变化趋势?投资机会在哪里?】</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2024-2029年中国软件行业全景调研与发展战略研究咨询报告</dc:title>
  <dc:description>2024-2029年中国软件行业全景调研与发展战略研究咨询报告</dc:description>
  <dc:subject>2024-2029年中国软件行业全景调研与发展战略研究咨询报告</dc:subject>
  <cp:keywords>研究报告</cp:keywords>
  <cp:category>研究报告</cp:category>
  <cp:lastModifiedBy>北京中道泰和信息咨询有限公司</cp:lastModifiedBy>
  <dcterms:created xsi:type="dcterms:W3CDTF">2024-01-24T18:31:00+08:00</dcterms:created>
  <dcterms:modified xsi:type="dcterms:W3CDTF">2024-01-24T18:31:00+08:00</dcterms:modified>
</cp:coreProperties>
</file>

<file path=docProps/custom.xml><?xml version="1.0" encoding="utf-8"?>
<Properties xmlns="http://schemas.openxmlformats.org/officeDocument/2006/custom-properties" xmlns:vt="http://schemas.openxmlformats.org/officeDocument/2006/docPropsVTypes"/>
</file>