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稀土新材料项目融资商业计划书(2025-2030版)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【稀土新材料项目商业计划书价值体现】</w:t>
      </w:r>
    </w:p>
    <w:p>
      <w:pPr>
        <w:spacing w:after="150"/>
      </w:pPr>
      <w:r>
        <w:rPr/>
        <w:t xml:space="preserve">《稀土新材料项目商业计划书(2025-2030版)》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——作为项目运作主体的沟通工具。《稀土新材料项目商业计划书(2025-2030版)》着力体现企业的价值，有效吸引投资、信贷、员工、战略合作伙伴，包括政府在内的其他利益相关者;</w:t>
      </w:r>
    </w:p>
    <w:p>
      <w:pPr>
        <w:spacing w:after="150"/>
      </w:pPr>
      <w:r>
        <w:rPr/>
        <w:t xml:space="preserve">——作为项目运作主体的管理工具。《稀土新材料项目商业计划书(2025-2030版)》可视为项目运作主体的计划工具，引导公司走过发展的不同阶段，规划具有战略性、全局性、长期性;</w:t>
      </w:r>
    </w:p>
    <w:p>
      <w:pPr>
        <w:spacing w:after="150"/>
      </w:pPr>
      <w:r>
        <w:rPr/>
        <w:t xml:space="preserve">——作为项目运作的行动指导工具。《稀土新材料项目商业计划书(2025-2030版)》内容涉及到项目运作的方方面面，能够全程指导项目开展工作。</w:t>
      </w:r>
    </w:p>
    <w:p>
      <w:pPr>
        <w:spacing w:after="150"/>
      </w:pPr>
      <w:r>
        <w:rPr/>
        <w:t xml:space="preserve">【稀土新材料项目商业计划书质量保障】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本文地址：https://www.51baogao.cn/baogao/20200730/176863.shtml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0/176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稀土新材料项目融资商业计划书(2025-2030版)</dc:title>
  <dc:description>稀土新材料项目融资商业计划书(2025-2030版)</dc:description>
  <dc:subject>稀土新材料项目融资商业计划书(2025-2030版)</dc:subject>
  <cp:keywords>研究报告</cp:keywords>
  <cp:category>研究报告</cp:category>
  <cp:lastModifiedBy>北京中道泰和信息咨询有限公司</cp:lastModifiedBy>
  <dcterms:created xsi:type="dcterms:W3CDTF">2025-01-29T05:02:21+08:00</dcterms:created>
  <dcterms:modified xsi:type="dcterms:W3CDTF">2025-01-29T05:02:21+08:00</dcterms:modified>
</cp:coreProperties>
</file>

<file path=docProps/custom.xml><?xml version="1.0" encoding="utf-8"?>
<Properties xmlns="http://schemas.openxmlformats.org/officeDocument/2006/custom-properties" xmlns:vt="http://schemas.openxmlformats.org/officeDocument/2006/docPropsVTypes"/>
</file>