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w:t>
      </w:r>
    </w:p>
    <w:p>
      <w:pPr>
        <w:spacing w:after="150"/>
      </w:pPr>
      <w:r>
        <w:rPr/>
        <w:t xml:space="preserve">市场容量</w:t>
      </w:r>
    </w:p>
    <w:p>
      <w:pPr>
        <w:spacing w:after="150"/>
      </w:pPr>
      <w:r>
        <w:rPr/>
        <w:t xml:space="preserve">随着经济发展和市场竞争的规范化，尤其是科学技术的日益普及，制假和售假的手段和方法也趋向集团化、科技化，变得更加隐蔽。无论是社会生产还是社会管理，更加需要防伪技术的支持和服务，随着防伪需求的不断扩大，防伪行业将会成为一个国民经济发展新的增长点。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随着公众在安全方面的意识提高，市场对公共安全、食品安全、药品安全的防伪需求日益增长。在“互联网+”浪潮下，防伪产品可进行触网智能化创新，而不再局限于防伪和溯源。随着市场需求的持续增长，2019年中国防伪市场规模约1842亿元，同比增长15.85%。</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对于品牌用户来说，也可以减少沟通成本，加强供应链的管控。二维码防伪溯源满足了消费者对于食品安全质量的需求，又解决了食品企业应对突发情况，品牌塑造，营销等问题，并且完成了政府监管的需求，在未来二维码防伪溯源将有更加巨大的应用。</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市场需求增长明显，包括服装制造、食品制造、医药制造、化妆品制造等行业。这些领域是假货伪劣产品最严峻却又无法杜绝的行业，对防伪产品及技术的需求具有长期性。随着公众在安全方面的意识提高，市场对公共安全、食品安全、药品安全的防伪需求日益增长。在“互联网+”浪潮下，防伪产品可进行触网智能化创新，而不再局限于防伪和溯源。随着市场需求的持续增长，2020年中国防伪市场规模将达2100亿元，到2025年将达3500亿元。</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二、防伪行业标准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3、区块链防伪溯源写入国家最高安全标准</w:t>
      </w:r>
    </w:p>
    <w:p>
      <w:pPr>
        <w:spacing w:after="150"/>
      </w:pPr>
      <w:r>
        <w:rPr/>
        <w:t xml:space="preserve">三、行业相关发展规划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2、《国家税务总局关于调整增值税普通发票防伪措施有关事项的公告》</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二、中国防伪行业最新技术进展</w:t>
      </w:r>
    </w:p>
    <w:p>
      <w:pPr>
        <w:spacing w:after="150"/>
      </w:pPr>
      <w:r>
        <w:rPr/>
        <w:t xml:space="preserve">三、防伪技术进入三维码时代</w:t>
      </w:r>
    </w:p>
    <w:p>
      <w:pPr>
        <w:spacing w:after="150"/>
      </w:pPr>
      <w:r>
        <w:rPr/>
        <w:t xml:space="preserve">四、rfid技术在产品防伪上的应用及趋势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三、澳大利亚防伪技术应用领域分布</w:t>
      </w:r>
    </w:p>
    <w:p>
      <w:pPr>
        <w:spacing w:after="150"/>
      </w:pPr>
      <w:r>
        <w:rPr/>
        <w:t xml:space="preserve">四、澳大利亚防伪市场发展趋势分析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一、防伪企业数量规模统计</w:t>
      </w:r>
    </w:p>
    <w:p>
      <w:pPr>
        <w:spacing w:after="150"/>
      </w:pPr>
      <w:r>
        <w:rPr/>
        <w:t xml:space="preserve">二、行业从业人员数量分析</w:t>
      </w:r>
    </w:p>
    <w:p>
      <w:pPr>
        <w:spacing w:after="150"/>
      </w:pPr>
      <w:r>
        <w:rPr/>
        <w:t xml:space="preserve">三、防伪系统平台数量分析</w:t>
      </w:r>
    </w:p>
    <w:p>
      <w:pPr>
        <w:spacing w:after="150"/>
      </w:pPr>
      <w:r>
        <w:rPr/>
        <w:t xml:space="preserve">四、防伪业规模以上企业收入分析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三、防伪行业企业竞争优劣变化</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三、山东丽鹏股份有限公司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六、上海天臣微纳米科技股份有限公司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十一、山东泰宝信息科技集团有限公司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十四、河南省防伪保密印刷公司(河南省邮电印刷厂)</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十八、广东侨盛防伪材料有限公司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二十三、上海伊诺尔智能科技有限公司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二十四、山东凯丽特种纸股份有限公司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二十六、北京筑世捷企业管理有限公司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二十九、深圳市艾斯芸防伪技术开发有限公司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【未来防伪行业发展前景怎样?有些什么样的变化趋势?投资价值怎样?投资机会在哪里?“一带一路”战略规划下有哪些发展机遇?】</w:t>
      </w:r>
    </w:p>
    <w:p>
      <w:pPr>
        <w:spacing w:after="150"/>
      </w:pPr>
      <w:r>
        <w:rPr>
          <w:b w:val="1"/>
          <w:bCs w:val="1"/>
        </w:rPr>
        <w:t xml:space="preserve">第十一章 2024-2029年防伪行业前景及趋势预测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三、“区块链”+防伪市场发展趋势分析</w:t>
      </w:r>
    </w:p>
    <w:p>
      <w:pPr>
        <w:spacing w:after="150"/>
      </w:pPr>
      <w:r>
        <w:rPr/>
        <w:t xml:space="preserve">四、2024-2029年防伪细分行业发展前景预测</w:t>
      </w:r>
    </w:p>
    <w:p>
      <w:pPr>
        <w:spacing w:after="150"/>
      </w:pPr>
      <w:r>
        <w:rPr/>
        <w:t xml:space="preserve">第二节 2024-2029年防伪市场发展趋势预测</w:t>
      </w:r>
    </w:p>
    <w:p>
      <w:pPr>
        <w:spacing w:after="150"/>
      </w:pPr>
      <w:r>
        <w:rPr/>
        <w:t xml:space="preserve">一、2024-2029年防伪技术发展趋势分析</w:t>
      </w:r>
    </w:p>
    <w:p>
      <w:pPr>
        <w:spacing w:after="150"/>
      </w:pPr>
      <w:r>
        <w:rPr/>
        <w:t xml:space="preserve">二、2024-2029年防伪产品发展趋势分析</w:t>
      </w:r>
    </w:p>
    <w:p>
      <w:pPr>
        <w:spacing w:after="150"/>
      </w:pPr>
      <w:r>
        <w:rPr/>
        <w:t xml:space="preserve">三、2024-2029年防伪材料发展趋势分析</w:t>
      </w:r>
    </w:p>
    <w:p>
      <w:pPr>
        <w:spacing w:after="150"/>
      </w:pPr>
      <w:r>
        <w:rPr/>
        <w:t xml:space="preserve">四、2024-2029年防伪行业应用趋势</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“一带一路”战略下防伪行业发展机遇分析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一、后疫情时代防伪企业投资战略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防伪行业研究结论及建议</w:t>
      </w:r>
    </w:p>
    <w:p>
      <w:pPr>
        <w:spacing w:after="150"/>
      </w:pPr>
      <w:r>
        <w:rPr/>
        <w:t xml:space="preserve">第三节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图表：2019-2023年中国防伪行业市场结构分析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图表：2019-2023年保健品市场防伪市场规模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图表：消费者防伪查询频率</w:t>
      </w:r>
    </w:p>
    <w:p>
      <w:pPr>
        <w:spacing w:after="150"/>
      </w:pPr>
      <w:r>
        <w:rPr/>
        <w:t xml:space="preserve">图表：消费者防伪查询商品类型</w:t>
      </w:r>
    </w:p>
    <w:p>
      <w:pPr>
        <w:spacing w:after="150"/>
      </w:pPr>
      <w:r>
        <w:rPr/>
        <w:t xml:space="preserve">图表：消费者购买到假冒商品的原因</w:t>
      </w:r>
    </w:p>
    <w:p>
      <w:pPr>
        <w:spacing w:after="150"/>
      </w:pPr>
      <w:r>
        <w:rPr/>
        <w:t xml:space="preserve">图表：防伪行业产品竞争格局</w:t>
      </w:r>
    </w:p>
    <w:p>
      <w:pPr>
        <w:spacing w:after="150"/>
      </w:pPr>
      <w:r>
        <w:rPr/>
        <w:t xml:space="preserve">图表：防伪行业企业竞争格局</w:t>
      </w:r>
    </w:p>
    <w:p>
      <w:pPr>
        <w:spacing w:after="150"/>
      </w:pPr>
      <w:r>
        <w:rPr/>
        <w:t xml:space="preserve">图表：防伪行业品牌竞争格局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图表：2019-2023年防伪行业竞争力排名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图表：山东丽鹏股份有限公司经营收入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图表：广东侨盛防伪材料有限公司经营收入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图表：山东凯丽特种纸股份有限公司经营收入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中国防伪行业深度分析及发展战略研究咨询报告(2024-2029版)</dc:title>
  <dc:description>中国防伪行业深度分析及发展战略研究咨询报告(2024-2029版)</dc:description>
  <dc:subject>中国防伪行业深度分析及发展战略研究咨询报告(2024-2029版)</dc:subject>
  <cp:keywords>研究报告</cp:keywords>
  <cp:category>研究报告</cp:category>
  <cp:lastModifiedBy>北京中道泰和信息咨询有限公司</cp:lastModifiedBy>
  <dcterms:created xsi:type="dcterms:W3CDTF">2024-01-29T22:22:48+08:00</dcterms:created>
  <dcterms:modified xsi:type="dcterms:W3CDTF">2024-01-29T22:22:48+08:00</dcterms:modified>
</cp:coreProperties>
</file>

<file path=docProps/custom.xml><?xml version="1.0" encoding="utf-8"?>
<Properties xmlns="http://schemas.openxmlformats.org/officeDocument/2006/custom-properties" xmlns:vt="http://schemas.openxmlformats.org/officeDocument/2006/docPropsVTypes"/>
</file>