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中国手机游戏行业深度分析及发展战略研究咨询报告(2024-2029版)</w:t>
      </w:r>
    </w:p>
    <w:p>
      <w:pPr>
        <w:spacing w:after="150"/>
      </w:pPr>
      <w:r>
        <w:rPr>
          <w:b w:val="1"/>
          <w:bCs w:val="1"/>
        </w:rPr>
        <w:t xml:space="preserve">报告简介</w:t>
      </w:r>
    </w:p>
    <w:p>
      <w:pPr>
        <w:spacing w:after="150"/>
      </w:pPr>
      <w:r>
        <w:rPr/>
        <w:t xml:space="preserve">最早的手机游戏出现于1997年，经过十几年的发展，随着手机终端和移动通信网络的不断进步，手机游戏也正在经历由简单到复杂的进化过程。从全球来看，手机娱乐服务被公认为是带动移动数据业务快速发展的重要力量。作为手机娱乐服务的重要内容之一，近年来，伴随着移动网络和移动终端性能的不断提高与完善，手机游戏业务呈现快速增长的势头，成为一座名副其实的“金矿”。</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2019年以来，多款具有创新性和开拓性的移动类游戏获得了网络游戏用户和市场的青睐，为网络游戏行业的持续推陈出新、健康发展起到了激励作用，移动游戏已经成为网络游戏产业中增长最快的细分行业。</w:t>
      </w:r>
    </w:p>
    <w:p>
      <w:pPr>
        <w:spacing w:after="150"/>
      </w:pPr>
      <w:r>
        <w:rPr/>
        <w:t xml:space="preserve">2019年全球游戏总收入达到了1200亿美元，同比增长4%。其中数字游戏收入为1094亿美元，同比增长3%。数字游戏中，按平台来划分，移动游戏收入为644亿美元，PC游戏收入296亿美元，主机游戏为154亿美元。</w:t>
      </w:r>
    </w:p>
    <w:p>
      <w:pPr>
        <w:spacing w:after="150"/>
      </w:pPr>
      <w:r>
        <w:rPr/>
        <w:t xml:space="preserve">2020年中国移动游戏市场实际销售收入为2096.76亿元，同比增长32.61%;手游用户数量达到6.54亿人，同比增长4.84%。2020年移动游戏收入占国内游戏市场总收入的比例超过四分之三，手游已占据游戏市场主要份额。</w:t>
      </w:r>
    </w:p>
    <w:p>
      <w:pPr>
        <w:spacing w:after="150"/>
      </w:pPr>
      <w:r>
        <w:rPr/>
        <w:t xml:space="preserve">由于游戏行业的特殊性，绝大部分游戏厂商和产品在疫情期间的内容更新和活动运营均较为稳定，普遍按照此前春节档计划进行。但是，用户线上娱乐时间的暴增，使得游戏产品的春节档运营效果被动地大幅放大，从而为大部分游戏产品带来了显著的活跃用户和用户时长增长，最终促进收入增加。</w:t>
      </w:r>
    </w:p>
    <w:p>
      <w:pPr>
        <w:spacing w:after="150"/>
      </w:pPr>
      <w:r>
        <w:rPr/>
        <w:t xml:space="preserve">随着4G、5G应用的快速推进以及智能手机的普及，手机正逐渐成为“个人信息处理中心”，覆盖到生活的方方面面，随着手机带宽的不断提速，互联网从PC过渡到手机的趋势正在加速蔓延，这也为手机游戏业的兴起造就了新的商业机遇。手机游戏正在呈现一个巨大的市场，成为移动互联网领域的热门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3、用户增速较快</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第八章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第九章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第十章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北京昆仑万维科技股份有限公司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中手游移动科技有限公司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第十一章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3、后疫情时代手游行业发展趋势预测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第十二章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第十三章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第十四章 不同类型手机游戏典型成功案例解析</w:t>
      </w:r>
    </w:p>
    <w:p>
      <w:pPr>
        <w:spacing w:after="150"/>
      </w:pPr>
      <w:r>
        <w:rPr/>
        <w:t xml:space="preserve">第一节 竞技类——《王者荣耀》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第十五章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图表：2019-2023年全球热门游戏用户支出排名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中国手机游戏行业深度分析及发展战略研究咨询报告(2024-2029版)</dc:title>
  <dc:description>中国手机游戏行业深度分析及发展战略研究咨询报告(2024-2029版)</dc:description>
  <dc:subject>中国手机游戏行业深度分析及发展战略研究咨询报告(2024-2029版)</dc:subject>
  <cp:keywords>研究报告</cp:keywords>
  <cp:category>研究报告</cp:category>
  <cp:lastModifiedBy>北京中道泰和信息咨询有限公司</cp:lastModifiedBy>
  <dcterms:created xsi:type="dcterms:W3CDTF">2024-01-29T20:09:44+08:00</dcterms:created>
  <dcterms:modified xsi:type="dcterms:W3CDTF">2024-01-29T20:09:44+08:00</dcterms:modified>
</cp:coreProperties>
</file>

<file path=docProps/custom.xml><?xml version="1.0" encoding="utf-8"?>
<Properties xmlns="http://schemas.openxmlformats.org/officeDocument/2006/custom-properties" xmlns:vt="http://schemas.openxmlformats.org/officeDocument/2006/docPropsVTypes"/>
</file>