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新型材料产品的功能及消费者关注的因素</w:t>
      </w:r>
    </w:p>
    <w:p>
      <w:pPr>
        <w:spacing w:after="150"/>
      </w:pPr>
      <w:r>
        <w:rPr/>
        <w:t xml:space="preserve">一、新型材料产品功能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图表：新型材料消费结构分析</w:t>
      </w:r>
    </w:p>
    <w:p>
      <w:pPr>
        <w:spacing w:after="150"/>
      </w:pPr>
      <w:r>
        <w:rPr/>
        <w:t xml:space="preserve">图表：新型材料消费的市场变化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图表：新型材料行业品牌忠诚度调查</w:t>
      </w:r>
    </w:p>
    <w:p>
      <w:pPr>
        <w:spacing w:after="150"/>
      </w:pPr>
      <w:r>
        <w:rPr/>
        <w:t xml:space="preserve">图表：新型材料行业品牌市场占有率调查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新型材料产品入市调查研究报告(2024-2029版)</dc:title>
  <dc:description>新型材料产品入市调查研究报告(2024-2029版)</dc:description>
  <dc:subject>新型材料产品入市调查研究报告(2024-2029版)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2024-01-25T01:16:22+08:00</dcterms:created>
  <dcterms:modified xsi:type="dcterms:W3CDTF">2024-01-25T01:16:22+08:00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