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2016-2019年期间，主要有色金属产品产量年均增幅3.3%，较“十二五”增幅回落近7.2个百分点。其中：精铜产量年均增幅5.3%，较“十二五”增幅回落6.6个百分点;原铝产量年均增幅2.7%，较“十二五”期间增幅回落11.5个百分点。2020年有色金属行业运行情况明显好于预期，且有色金属工业生产、效益及铜、铝年均价格好于2019年水平。</w:t>
      </w:r>
    </w:p>
    <w:p>
      <w:pPr>
        <w:spacing w:after="150"/>
      </w:pPr>
      <w:r>
        <w:rPr/>
        <w:t xml:space="preserve">市场规模</w:t>
      </w:r>
    </w:p>
    <w:p>
      <w:pPr>
        <w:spacing w:after="150"/>
      </w:pPr>
      <w:r>
        <w:rPr/>
        <w:t xml:space="preserve">数据显示，2020年，我国十种有色金属产量为6168万吨，同比增长5.5%，增幅同比扩大2个百分点。其中，精炼铜产量1002.5万吨，同比增长7.4%;原铝产量3708万吨，同比增长4.9%。铅产量644.3万吨，同比增长9.4%;锌产量642.5万吨，同比增长2.7%。2021年1-5月，我国十种有色金属产量为2695.1万吨，同比增长11.6%。其中，精炼铜产量424.4万吨，同比增长14.1%;原铝产量1633.5万吨，同比增长10.0%;铅产量293.1万吨，同比增长24.0%;锌产量271.2万吨，同比增长5.1%。2020年受新冠肺炎疫情影响下，我国率先实现复工复产，实体经济表现亮眼，对铜、铝的需求量大增。预计2021年，我国有色金属工业有望继续保持向好的走势。</w:t>
      </w:r>
    </w:p>
    <w:p>
      <w:pPr>
        <w:spacing w:after="150"/>
      </w:pPr>
      <w:r>
        <w:rPr/>
        <w:t xml:space="preserve">2020年，规模以上有色金属工业企业实现营业收入58266.5亿元，同比增长3.8%;实现利润总额1833.2亿元，同比增长19.2%。其中，铜企业实现利润408.4亿元，同比增长7.7%，拉动规模以上有色金属企业利润增长1.9个百分点;铝企业实现利润628.9亿元，同比增长53.0%，拉动规模以上有色金属企业利润增长14.2个百分点;黄金企业实现利润221.6亿元，同比增长62.5%，拉动规模以上有色金属企业利润增长5.5个百分点。</w:t>
      </w:r>
    </w:p>
    <w:p>
      <w:pPr>
        <w:spacing w:after="150"/>
      </w:pPr>
      <w:r>
        <w:rPr/>
        <w:t xml:space="preserve">作为有色金属大国，我国具有全球最健全的科技链、最完备的建设链、最完整的产业链，最大规模的产能、最大市场的需求。据统计，2021年1-2月，8820家规模以上有色金属工业企业(包括独立黄金企业)实现营业收入8788.4亿元，同比增长47.5%。实现利润总额366.8亿元，同比增长231.8%。2021年一季度规模以上有色金属企业实现利润创近十年来新高，实现利润总额651.8亿元，同比增长3.4倍，两年平均增长70.3%。</w:t>
      </w:r>
    </w:p>
    <w:p>
      <w:pPr>
        <w:spacing w:after="150"/>
      </w:pPr>
      <w:r>
        <w:rPr/>
        <w:t xml:space="preserve">发展形势</w:t>
      </w:r>
    </w:p>
    <w:p>
      <w:pPr>
        <w:spacing w:after="150"/>
      </w:pPr>
      <w:r>
        <w:rPr/>
        <w:t xml:space="preserve">报告显示，2021年有色金属行业增速总体将呈“前高后稳”态势。生产总体保持平稳运行，全年增幅在3%左右。预计主要有色金属价格上半年将维持高位震荡，但也不排除下半年出现回调的可能，全年年均价格仍将好于2020年。规模以上有色金属企业利润有望保持增长态势。随着中国经济由高速增长阶段转向高质量发展阶段，国内市场对有色金属等大宗原材料的需求也由持续增长期转入“微增长”的平台期，“十三五”期间，国内铜、铝等主要有色金属消费增长速度已经出现明显回落。预计未来还将进一步回落。与此同时，国际市场竞争日趋激烈，未来我国有色金属产品出口空间将被严重挤压。在此背景下，产业进一步深化供给侧结构性改革，加快转型发展的任务显得十分艰巨。</w:t>
      </w:r>
    </w:p>
    <w:p>
      <w:pPr>
        <w:spacing w:after="150"/>
      </w:pPr>
      <w:r>
        <w:rPr/>
        <w:t xml:space="preserve">前景展望</w:t>
      </w:r>
    </w:p>
    <w:p>
      <w:pPr>
        <w:spacing w:after="150"/>
      </w:pPr>
      <w:r>
        <w:rPr/>
        <w:t xml:space="preserve">2015年到2019年期间，我国精炼铜消费量从985万吨，增加到1208万吨，净增223万吨，年均增长率5.2%，远低于2000年到2015年期间年均12%的增长速度;电解铝消费量从3164万吨，增加到3590万吨，净增426万吨，年均增长率3.2%，远低于2000年到2015年期间年均15%的增长速度。“十三五”期间我国主要有色金属消费变化表明，国内有色金属需求快速增长的阶段已经结束。随着消费增速的下降，我国主要有色金属需求将在“十四五”期间进入平台期，并出现消费峰值。根据有关机构分析，预计我国精炼铜年需求量峰值在1400万吨左右，电解铝年需求量峰值在4000万吨左右。</w:t>
      </w:r>
    </w:p>
    <w:p>
      <w:pPr>
        <w:spacing w:after="150"/>
      </w:pPr>
      <w:r>
        <w:rPr/>
        <w:t xml:space="preserve">面临挑战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尽管国内主要有色金属需求开始进入“微增长”的平台期，但铜、铝矿产资源供给不足的矛盾依然突出。随着部分生产基地矿产资源的枯竭，铜、铝等战略性矿产资源安全形势愈发严重。</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一、行业相关政策动态</w:t>
      </w:r>
    </w:p>
    <w:p>
      <w:pPr>
        <w:spacing w:after="150"/>
      </w:pPr>
      <w:r>
        <w:rPr/>
        <w:t xml:space="preserve">二、现阶段有色金属行业重点政策研究</w:t>
      </w:r>
    </w:p>
    <w:p>
      <w:pPr>
        <w:spacing w:after="150"/>
      </w:pPr>
      <w:r>
        <w:rPr/>
        <w:t xml:space="preserve">1、电解铝是有色金属行业碳中和重点领域</w:t>
      </w:r>
    </w:p>
    <w:p>
      <w:pPr>
        <w:spacing w:after="150"/>
      </w:pPr>
      <w:r>
        <w:rPr/>
        <w:t xml:space="preserve">2、《“十四五”循环经济发展规划》解读</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中国有色金属行业深度分析及发展前景与发展战略研究报告(2024-2029版)</dc:title>
  <dc:description>中国有色金属行业深度分析及发展前景与发展战略研究报告(2024-2029版)</dc:description>
  <dc:subject>中国有色金属行业深度分析及发展前景与发展战略研究报告(2024-2029版)</dc:subject>
  <cp:keywords>研究报告</cp:keywords>
  <cp:category>研究报告</cp:category>
  <cp:lastModifiedBy>北京中道泰和信息咨询有限公司</cp:lastModifiedBy>
  <dcterms:created xsi:type="dcterms:W3CDTF">2024-01-29T12:24:38+08:00</dcterms:created>
  <dcterms:modified xsi:type="dcterms:W3CDTF">2024-01-29T12:24:38+08:00</dcterms:modified>
</cp:coreProperties>
</file>

<file path=docProps/custom.xml><?xml version="1.0" encoding="utf-8"?>
<Properties xmlns="http://schemas.openxmlformats.org/officeDocument/2006/custom-properties" xmlns:vt="http://schemas.openxmlformats.org/officeDocument/2006/docPropsVTypes"/>
</file>