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光电元器件产品入市调查研究报告(2026-2031版)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光电元器件产品的功能及消费者关注的因素</w:t>
      </w:r>
    </w:p>
    <w:p>
      <w:pPr>
        <w:spacing w:before="75" w:after="0"/>
      </w:pPr>
      <w:r>
        <w:rPr/>
        <w:t xml:space="preserve">一、光电元器件产品功能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图表：光电元器件消费结构分析</w:t>
      </w:r>
    </w:p>
    <w:p>
      <w:pPr>
        <w:spacing w:before="75" w:after="0"/>
      </w:pPr>
      <w:r>
        <w:rPr/>
        <w:t xml:space="preserve">图表：光电元器件消费的市场变化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图表：光电元器件行业品牌忠诚度调查</w:t>
      </w:r>
    </w:p>
    <w:p>
      <w:pPr>
        <w:spacing w:before="75" w:after="0"/>
      </w:pPr>
      <w:r>
        <w:rPr/>
        <w:t xml:space="preserve">图表：光电元器件行业品牌市场占有率调查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本文地址：https://www.51baogao.cn/baogao/20210803/220503.shtml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803/2205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光电元器件产品入市调查研究报告(2026-2031版)</dc:title>
  <dc:description>光电元器件产品入市调查研究报告(2026-2031版)</dc:description>
  <dc:subject>光电元器件产品入市调查研究报告(2026-2031版)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2026-04-01T23:37:52+08:00</dcterms:created>
  <dcterms:modified xsi:type="dcterms:W3CDTF">2026-04-01T23:37:52+08:00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