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中国中药饮片行业深度分析及发展前景与发展战略研究报告(2024-2029版)</w:t>
      </w:r>
    </w:p>
    <w:p>
      <w:pPr>
        <w:spacing w:after="150"/>
      </w:pPr>
      <w:r>
        <w:rPr>
          <w:b w:val="1"/>
          <w:bCs w:val="1"/>
        </w:rPr>
        <w:t xml:space="preserve">报告简介</w:t>
      </w:r>
    </w:p>
    <w:p>
      <w:pPr>
        <w:spacing w:after="150"/>
      </w:pPr>
      <w:r>
        <w:rPr/>
        <w:t xml:space="preserve">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w:t>
      </w:r>
    </w:p>
    <w:p>
      <w:pPr>
        <w:spacing w:after="150"/>
      </w:pPr>
      <w:r>
        <w:rPr/>
        <w:t xml:space="preserve">我国医药企业发展整体趋势由快速增长到趋于稳定。2015-2019年，我国工业规模以上医药制造企业利润总额稳步增长，由2627.3亿元上升至3119.5亿元。数据显示：2020年我国工业规模以上医药制造企业利润总额达3506.7亿元，同比增长12.8%。</w:t>
      </w:r>
    </w:p>
    <w:p>
      <w:pPr>
        <w:spacing w:after="150"/>
      </w:pPr>
      <w:r>
        <w:rPr/>
        <w:t xml:space="preserve">中药饮片行业全面规划，质量控制日趋严格、市场集中度进一步提高、优势企业向中药材种植上游拓展、小包装、全球化等方向发展，市场竞争进一步加剧。几年来，随着国家政策的大力支持和药品监督管理的不断规范，中药饮片受到越来越多人的认可和接受，我国中药饮片产业取得了长足的发展。2019年我国中药饮片行业企业营业收入达到1932.5亿元，同比2018年增长12.7%，增速位居医药加工工业前列。</w:t>
      </w:r>
    </w:p>
    <w:p>
      <w:pPr>
        <w:spacing w:after="150"/>
      </w:pPr>
      <w:r>
        <w:rPr/>
        <w:t xml:space="preserve">医疗保健是人们生活的基本需求之一，居民收入水平的提高使得居民卫生支付能力不断提升。随着今后国民经济的进一步发展，我国居民可支配收入和卫生费用支出也将进一步提高，叠加中产阶层人数增加、人口结构老龄化、慢性疾病发病率提高、公众医疗保障意识增强等因素，中药饮片将凭借其良好疗效及滋补调养功效受到越来越多消费者青睐，消费需求持续增加，带动行业的进一步发展。</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1、《中药材保护和发展规划(2015-2019-2023年)》</w:t>
      </w:r>
    </w:p>
    <w:p>
      <w:pPr>
        <w:spacing w:after="150"/>
      </w:pPr>
      <w:r>
        <w:rPr/>
        <w:t xml:space="preserve">2、《中医药健康服务发展规划(2015-2019-2023年)》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三、疫情发生医疗中药饮片价格走势</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2、前十大厂商产量占比情况</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三、智能制造助推中药产业转型升级</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五、疫情影响下中药饮片行业的发展机会</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三、供求风险</w:t>
      </w:r>
    </w:p>
    <w:p>
      <w:pPr>
        <w:spacing w:after="150"/>
      </w:pPr>
      <w:r>
        <w:rPr/>
        <w:t xml:space="preserve">四、原材料价格波动风险</w:t>
      </w:r>
    </w:p>
    <w:p>
      <w:pPr>
        <w:spacing w:after="150"/>
      </w:pPr>
      <w:r>
        <w:rPr/>
        <w:t xml:space="preserve">五、产品结构风险</w:t>
      </w:r>
    </w:p>
    <w:p>
      <w:pPr>
        <w:spacing w:after="150"/>
      </w:pPr>
      <w:r>
        <w:rPr/>
        <w:t xml:space="preserve">六、其他风险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一、后疫情时代中药饮片企业投资战略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中国中药饮片行业深度分析及发展前景与发展战略研究报告(2024-2029版)</dc:title>
  <dc:description>中国中药饮片行业深度分析及发展前景与发展战略研究报告(2024-2029版)</dc:description>
  <dc:subject>中国中药饮片行业深度分析及发展前景与发展战略研究报告(2024-2029版)</dc:subject>
  <cp:keywords>研究报告</cp:keywords>
  <cp:category>研究报告</cp:category>
  <cp:lastModifiedBy>北京中道泰和信息咨询有限公司</cp:lastModifiedBy>
  <dcterms:created xsi:type="dcterms:W3CDTF">2024-01-29T09:39:23+08:00</dcterms:created>
  <dcterms:modified xsi:type="dcterms:W3CDTF">2024-01-29T09:39:23+08:00</dcterms:modified>
</cp:coreProperties>
</file>

<file path=docProps/custom.xml><?xml version="1.0" encoding="utf-8"?>
<Properties xmlns="http://schemas.openxmlformats.org/officeDocument/2006/custom-properties" xmlns:vt="http://schemas.openxmlformats.org/officeDocument/2006/docPropsVTypes"/>
</file>