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电动自行车产品入市调查研究报告(2026-2031版)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电动自行车产品的功能及消费者关注的因素</w:t>
      </w:r>
    </w:p>
    <w:p>
      <w:pPr>
        <w:spacing w:before="75" w:after="0"/>
      </w:pPr>
      <w:r>
        <w:rPr/>
        <w:t xml:space="preserve">一、电动自行车产品功能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图表：电动自行车消费结构分析</w:t>
      </w:r>
    </w:p>
    <w:p>
      <w:pPr>
        <w:spacing w:before="75" w:after="0"/>
      </w:pPr>
      <w:r>
        <w:rPr/>
        <w:t xml:space="preserve">图表：电动自行车消费的市场变化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图表：电动自行车行业品牌忠诚度调查</w:t>
      </w:r>
    </w:p>
    <w:p>
      <w:pPr>
        <w:spacing w:before="75" w:after="0"/>
      </w:pPr>
      <w:r>
        <w:rPr/>
        <w:t xml:space="preserve">图表：电动自行车行业品牌市场占有率调查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电动自行车产品入市调查研究报告(2026-2031版)</dc:title>
  <dc:description>电动自行车产品入市调查研究报告(2026-2031版)</dc:description>
  <dc:subject>电动自行车产品入市调查研究报告(2026-2031版)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2026-04-02T06:35:17+08:00</dcterms:created>
  <dcterms:modified xsi:type="dcterms:W3CDTF">2026-04-02T06:35:17+08:00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