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止9月，全国机动车保有量已经达到3.90亿辆，驾驶人达到4.76亿人，其中汽车保有量达到2.97亿辆。汽车行业产值大、产业链长、消费占比高，对经济拉动广泛，总产值和增加值占制造业的比重超过7%。</w:t>
      </w:r>
    </w:p>
    <w:p>
      <w:pPr>
        <w:spacing w:after="150"/>
      </w:pPr>
      <w:r>
        <w:rPr/>
        <w:t xml:space="preserve">市场容量</w:t>
      </w:r>
    </w:p>
    <w:p>
      <w:pPr>
        <w:spacing w:after="150"/>
      </w:pPr>
      <w:r>
        <w:rPr/>
        <w:t xml:space="preserve">随着产业政策和金融管制的逐步放开，社会信用体系和法律法规体系的不断完善，消费者的年轻化，消费倾向、消费能力及方式等方面的有利变化，中国汽车金融公司的市场规模将保持增长态势，产融结合将更紧密，产品将更多样化，经营管理将更高效。中国汽车金融公司必将成为推动汽车产业发展的中坚力量。在汽车成熟市场中，整车制造和新车销售的利润占比不到30%，约70%的利润来自于汽车金融、售后、二手车等后市场环节。随着中国汽车市场的逐步成熟，中国汽车金融行业得到了有效发展。随着中国汽车工业的发展，中国汽车金融行业逐步壮大，专业汽车金融公司数量整体增多。2020年末，全国25家汽车金融公司资产规模达9774.84亿元，同比增长7.85%。数据显示，截至2020年末，我国汽车金融公司零售贷款余额7820.16亿元,同比增长8.71%;库存批发贷款余额为1046.52亿元，同比略降3.15%。</w:t>
      </w:r>
    </w:p>
    <w:p>
      <w:pPr>
        <w:spacing w:after="150"/>
      </w:pPr>
      <w:r>
        <w:rPr/>
        <w:t xml:space="preserve">《中国汽车金融公司行业发展报告(2020年度)》显示，2020年，汽车金融公司零售贷款车辆678.07万辆，占当年我国汽车销量的26.79%，同比增长2.02个百分点;经销商批发贷款车辆428.39万辆，占当年我国汽车产量的16.98%。2020年面向消费者的汽车零售总额3.94万亿，占社会消费品零售总额的10.08%，在2020年限额以上企业商品零售总额中，汽车类消费高居首位，占比达29.18%。如今汽车消费已经成为稳增长的重要抓手，汽车行业的相关政策支持力度也在不断扩大，各种减免税和补贴政策陆续出台。2020年新冠疫情以来，政府更是加大逆周期调节节奏，汽车销量也迅速回暖，目前全行业景气度处于较高水平。国内汽车金融一季度汽车金融渗透率创57.5%新高，但渗透率空间依然巨大。新崛起的年轻消费信贷购车的接受度和比例更高。</w:t>
      </w:r>
    </w:p>
    <w:p>
      <w:pPr>
        <w:spacing w:after="150"/>
      </w:pPr>
      <w:r>
        <w:rPr/>
        <w:t xml:space="preserve">竞争态势</w:t>
      </w:r>
    </w:p>
    <w:p>
      <w:pPr>
        <w:spacing w:after="150"/>
      </w:pPr>
      <w:r>
        <w:rPr/>
        <w:t xml:space="preserve">近年来，汽车金融展业模式并没有重大的突破性变革，大量同质化产品涌入市场，在市场高速增长时期，谁都能分一杯羹。汽车消费场景这一基础设施的重构，直接影响了汽车金融玩家们在资产端的竞争态势。随着中国汽车行业进入发成熟的“新常态”时期，汽车金融市场的整体增速也开始减缓。与此同时，各种背景的公司继续涌入汽车金融市场，现有行业玩家也不断投入，加剧的竞争压缩了行业整体利润空间。日益严格的监管引领行业走上规范化的道路，但也给部分玩家带来经营压力，提出转型要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问题与挑战</w:t>
      </w:r>
    </w:p>
    <w:p>
      <w:pPr>
        <w:spacing w:after="150"/>
      </w:pPr>
      <w:r>
        <w:rPr/>
        <w:t xml:space="preserve">尽管我国汽车消费金融发展迅速，但是仍存在消费者权益保护不足、资金来源渠道较为单一、取消二手车限迁和双录等政策有待进一步落地、汽车估价和残值预测缺乏准确数据、政府部分数据无法查询等汽车消费金融共性问题。2020年4月，发改委、工信部、银保监会等11部门发布《关于稳定和扩大汽车消费若干措施的通知》，推出新的汽车金融刺激措施，明确将通过“适当下调首付比例和贷款利率、延长还款期限等方式”释放汽车消费潜力。更低的首付比例意味着更高的贷款限额，这将直接扩大汽车金融市场规模。还款期限的延长将给予金融服务商更灵活的产品提升空间，也能激发部分消费者的贷款意愿。但同时，这也将为汽车金融机构的风控和融资能力带来更高的挑战。</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先锋国际融资租赁有限公司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悦达融资租赁有限公司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安徽融创汽车融资租赁有限公司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四、2024-2029年中国汽车金融市场规模预测</w:t>
      </w:r>
    </w:p>
    <w:p>
      <w:pPr>
        <w:spacing w:after="150"/>
      </w:pPr>
      <w:r>
        <w:rPr/>
        <w:t xml:space="preserve">五、2024-2029年中国汽车金融业预测分析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“互联网+”背景下汽车金融行业发展分析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二、2024-2029年汽车金融企业投资战略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图表：2019-2023年互联网汽车金融平台各领域占比分析</w:t>
      </w:r>
    </w:p>
    <w:p>
      <w:pPr>
        <w:spacing w:after="150"/>
      </w:pPr>
      <w:r>
        <w:rPr/>
        <w:t xml:space="preserve">图表：2019-2023互联网汽车金融平台top</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图表：2024-2029年机动车辆承保数量预测</w:t>
      </w:r>
    </w:p>
    <w:p>
      <w:pPr>
        <w:spacing w:after="150"/>
      </w:pPr>
      <w:r>
        <w:rPr/>
        <w:t xml:space="preserve">图表：2024-2029年汽车保险保费收入预测</w:t>
      </w:r>
    </w:p>
    <w:p>
      <w:pPr>
        <w:spacing w:after="150"/>
      </w:pPr>
      <w:r>
        <w:rPr/>
        <w:t xml:space="preserve">图表：2024-2029年汽车保险行业盈利预测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图表：2019-2023年国内乘用车生产企业销量排行top</w:t>
      </w:r>
    </w:p>
    <w:p>
      <w:pPr>
        <w:spacing w:after="150"/>
      </w:pPr>
      <w:r>
        <w:rPr/>
        <w:t xml:space="preserve">图表：2019-2023年中国商用车销量情况</w:t>
      </w:r>
    </w:p>
    <w:p>
      <w:pPr>
        <w:spacing w:after="150"/>
      </w:pPr>
      <w:r>
        <w:rPr/>
        <w:t xml:space="preserve">图表：2019-2023年国内商用车生产企业销量排行top</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图表：2024-2029年汽车金融市场规模预测</w:t>
      </w:r>
    </w:p>
    <w:p>
      <w:pPr>
        <w:spacing w:after="150"/>
      </w:pPr>
      <w:r>
        <w:rPr/>
        <w:t xml:space="preserve">图表：2024-2029年汽车金融细分行业市场规模预测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中国汽车金融行业深度分析及发展前景与发展战略研究报告(2024-2029版)</dc:title>
  <dc:description>中国汽车金融行业深度分析及发展前景与发展战略研究报告(2024-2029版)</dc:description>
  <dc:subject>中国汽车金融行业深度分析及发展前景与发展战略研究报告(2024-2029版)</dc:subject>
  <cp:keywords>研究报告</cp:keywords>
  <cp:category>研究报告</cp:category>
  <cp:lastModifiedBy>北京中道泰和信息咨询有限公司</cp:lastModifiedBy>
  <dcterms:created xsi:type="dcterms:W3CDTF">2024-01-29T07:06:48+08:00</dcterms:created>
  <dcterms:modified xsi:type="dcterms:W3CDTF">2024-01-29T07:06:48+08:00</dcterms:modified>
</cp:coreProperties>
</file>

<file path=docProps/custom.xml><?xml version="1.0" encoding="utf-8"?>
<Properties xmlns="http://schemas.openxmlformats.org/officeDocument/2006/custom-properties" xmlns:vt="http://schemas.openxmlformats.org/officeDocument/2006/docPropsVTypes"/>
</file>