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如从2006到2015年10年的复合增长率高达29.7%，远远高于医药行业整体的21%，而近年来随着对中药饮片行业从企业GMP到具体品种系列监管的加强，饮片行业增速逐渐下滑。2019年我国中药饮片加工市场销售收入超过2700亿元。在2020年的新型冠状病毒肺炎疫情中，中药也派上了用场。在2020年的新型冠状病毒肺炎疫情中，中医药在新冠肺炎预防、治疗及康复中显现的有效性与安全性，中药饮片的市场规模有望进一步扩容。另外中药饮片属于自主定价，不需要招标，又是新农合又是医保，而且不占药占比，中药饮片是一个创收项目，医院是非常欢迎的，药品差价中药饮片就越受欢迎，没有招标，也没有两票制的影响，来学习中学论坛的做中药音频的很少，因为不需要两票制的规范。并且做中药饮片会有一个飞速发展，特别是刚才讲到的院内、外，因为人口老龄化，收入高，对生活质量的追求，治未病对中医中药来讲是一个非常大的机遇。</w:t>
      </w:r>
    </w:p>
    <w:p>
      <w:pPr>
        <w:spacing w:after="150"/>
      </w:pPr>
      <w:r>
        <w:rPr/>
        <w:t xml:space="preserve">市场容量</w:t>
      </w:r>
    </w:p>
    <w:p>
      <w:pPr>
        <w:spacing w:after="150"/>
      </w:pPr>
      <w:r>
        <w:rPr/>
        <w:t xml:space="preserve">我国医药企业发展整体趋势由快速增长到趋于稳定。2015-2019年，我国工业规模以上医药制造企业利润总额稳步增长，由2627.3亿元上升至3119.5亿元。数据显示：2020年我国工业规模以上医药制造企业利润总额达3506.7亿元，同比增长12.8%。</w:t>
      </w:r>
    </w:p>
    <w:p>
      <w:pPr>
        <w:spacing w:after="150"/>
      </w:pPr>
      <w:r>
        <w:rPr/>
        <w:t xml:space="preserve">中药饮片行业全面规划，质量控制日趋严格、市场集中度进一步提高、优势企业向中药材种植上游拓展、小包装、全球化等方向发展，市场竞争进一步加剧。几年来，随着国家政策的大力支持和药品监督管理的不断规范，中药饮片受到越来越多人的认可和接受，我国中药饮片产业取得了长足的发展。2019年我国中药饮片行业企业营业收入达到1932.5亿元，同比2018年增长12.7%，增速位居医药加工工业前列。</w:t>
      </w:r>
    </w:p>
    <w:p>
      <w:pPr>
        <w:spacing w:after="150"/>
      </w:pPr>
      <w:r>
        <w:rPr/>
        <w:t xml:space="preserve">近年来，在零加成、控药占比和新版医保目录的共同作用下，中药饮片行业已迎来增速拐点。2020年以来，中医药受到了广泛的关注和市场的重新认可，行业迎来发展的契机。经过多年的发展，我国中药饮片行业市场化程度已比较高。数据显示，2019年医院渠道规模767.32亿元，药厂渠道规模736.21亿元，二者需求占比合计达79.92%。而2019年零售渠道规模达377.24亿元，占比20.08%，增长十分强劲。</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w:t>
      </w:r>
    </w:p>
    <w:p>
      <w:pPr>
        <w:spacing w:after="150"/>
      </w:pPr>
      <w:r>
        <w:rPr/>
        <w:t xml:space="preserve">发展趋势</w:t>
      </w:r>
    </w:p>
    <w:p>
      <w:pPr>
        <w:spacing w:after="150"/>
      </w:pPr>
      <w:r>
        <w:rPr/>
        <w:t xml:space="preserve">近年来，我国陆续出台了一系列鼓励政策对本行业的发展给与了巨大的政策支持。一方面，《中医药发展战略规划纲要(2016-2030年)》《“健康中国2030”规划纲要》等长期统筹规划的出台，明确了中医药的重要战略地位和发展方针，为本行业的发展提供了长期驱动力。另一方面，中药饮片享受不纳入药品集中采购目录、不取消药品加成政策、不计入公立医院药占比等多重政策优待，且被纳入国家基本药物目录和国家医保药品目录的中药饮片品种不断增加，为本行业发展提供了强劲的推动力。</w:t>
      </w:r>
    </w:p>
    <w:p>
      <w:pPr>
        <w:spacing w:after="150"/>
      </w:pPr>
      <w:r>
        <w:rPr/>
        <w:t xml:space="preserve">医疗保健是人们生活的基本需求之一，居民收入水平的提高使得居民卫生支付能力不断提升。随着今后国民经济的进一步发展，我国居民可支配收入和卫生费用支出也将进一步提高，叠加中产阶层人数增加、人口结构老龄化、慢性疾病发病率提高、公众医疗保障意识增强等因素，中药饮片将凭借其良好疗效及滋补调养功效受到越来越多消费者青睐，消费需求持续增加，带动行业的进一步发展。</w:t>
      </w:r>
    </w:p>
    <w:p>
      <w:pPr>
        <w:spacing w:after="150"/>
      </w:pPr>
      <w:r>
        <w:rPr/>
        <w:t xml:space="preserve">存在的问题</w:t>
      </w:r>
    </w:p>
    <w:p>
      <w:pPr>
        <w:spacing w:after="150"/>
      </w:pPr>
      <w:r>
        <w:rPr/>
        <w:t xml:space="preserve">中药饮片炮制实际上是中药饮片行业的核心，这个行业在我们国家属于保密行业，严格禁止外资进入，而在国内，炮制方法分为四个帮派，但是最主要的问题在于炮制的很多方法都失传了并且该行业的专利产出也很艰难，一定程度上阻碍了发展。受中药饮片利润率较低和种植、生产的地域性等因素影响，中药饮片行业集中度普遍较低，市场流通分散，中药饮片产业很难形成大流通、大品种、大品牌，大型龙头企业培育难度较大，部分生产企业设备、工艺技术更新较慢，甚至部分企业生产设备陈旧，产品升级与创新研究乏力，影响行业健康发展。</w:t>
      </w:r>
    </w:p>
    <w:p>
      <w:pPr>
        <w:spacing w:after="150"/>
      </w:pPr>
      <w:r>
        <w:rPr/>
        <w:t xml:space="preserve">我国中药饮片行业目前生产的自动化和智能化水平不高。一方面，由于中药饮片加工企业产品呈现“小而全”的特点，产品品种及规格多，且炮制工艺各异，因此加工过程以模块化的单元操作为主，尚未实现整线加工装备的集成和优化。另一方面，目前中药饮片行业“小而散”的状况仍没有彻底改变，很多规模小、粗放式经营的企业生产自动化水平较低。</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1、《中药材保护和发展规划(2015-2019-2023年)》</w:t>
      </w:r>
    </w:p>
    <w:p>
      <w:pPr>
        <w:spacing w:after="150"/>
      </w:pPr>
      <w:r>
        <w:rPr/>
        <w:t xml:space="preserve">2、《中医药健康服务发展规划(2015-2019-2023年)》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2、前十大厂商产量占比情况</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【医药行业“十三五”规划如何?未来中药饮片行业发展前景怎样?中药材市场前景怎样?中药饮片有些什么样的变化趋势?投资机会在哪里?风险如何?】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一、后疫情时代中药饮片企业投资战略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中国中药饮片行业深度分析及发展前景与发展战略研究报告(2024-2029版)</dc:title>
  <dc:description>中国中药饮片行业深度分析及发展前景与发展战略研究报告(2024-2029版)</dc:description>
  <dc:subject>中国中药饮片行业深度分析及发展前景与发展战略研究报告(2024-2029版)</dc:subject>
  <cp:keywords>研究报告</cp:keywords>
  <cp:category>研究报告</cp:category>
  <cp:lastModifiedBy>北京中道泰和信息咨询有限公司</cp:lastModifiedBy>
  <dcterms:created xsi:type="dcterms:W3CDTF">2024-01-29T07:05:46+08:00</dcterms:created>
  <dcterms:modified xsi:type="dcterms:W3CDTF">2024-01-29T07:05:46+08:00</dcterms:modified>
</cp:coreProperties>
</file>

<file path=docProps/custom.xml><?xml version="1.0" encoding="utf-8"?>
<Properties xmlns="http://schemas.openxmlformats.org/officeDocument/2006/custom-properties" xmlns:vt="http://schemas.openxmlformats.org/officeDocument/2006/docPropsVTypes"/>
</file>