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空气加湿器产品入市调查研究报告(2025-2030版)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空气加湿器产品的功能及消费者关注的因素</w:t>
      </w:r>
    </w:p>
    <w:p>
      <w:pPr>
        <w:spacing w:before="75" w:after="0"/>
      </w:pPr>
      <w:r>
        <w:rPr/>
        <w:t xml:space="preserve">一、空气加湿器产品功能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/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图表：空气加湿器消费结构分析</w:t>
      </w:r>
    </w:p>
    <w:p>
      <w:pPr>
        <w:spacing w:before="75" w:after="0"/>
      </w:pPr>
      <w:r>
        <w:rPr/>
        <w:t xml:space="preserve">图表：空气加湿器消费的市场变化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图表：空气加湿器行业品牌忠诚度调查</w:t>
      </w:r>
    </w:p>
    <w:p>
      <w:pPr>
        <w:spacing w:before="75" w:after="0"/>
      </w:pPr>
      <w:r>
        <w:rPr/>
        <w:t xml:space="preserve">图表：空气加湿器行业品牌市场占有率调查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本文地址：https://www.51baogao.cn/baogao/20220112/243066.shtml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12/2430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空气加湿器产品入市调查研究报告(2025-2030版)</dc:title>
  <dc:description>空气加湿器产品入市调查研究报告(2025-2030版)</dc:description>
  <dc:subject>空气加湿器产品入市调查研究报告(2025-2030版)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2025-02-02T12:02:03+08:00</dcterms:created>
  <dcterms:modified xsi:type="dcterms:W3CDTF">2025-02-02T12:02:03+08:00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