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智慧社区产业发展分析及政府战略规划发展研究报告(2024-2029版)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三、2019-2023年智慧社区技术发展分析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图表：雄安新区区域范围</w:t>
      </w:r>
    </w:p>
    <w:p>
      <w:pPr>
        <w:spacing w:after="150"/>
      </w:pPr>
      <w:r>
        <w:rPr/>
        <w:t xml:space="preserve">图表：2019-2023年智慧城市&amp;智慧社区优秀品牌奖”获奖名单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图表：2009-2023年中国出生人口及出生率情况</w:t>
      </w:r>
    </w:p>
    <w:p>
      <w:pPr>
        <w:spacing w:after="150"/>
      </w:pPr>
      <w:r>
        <w:rPr/>
        <w:t xml:space="preserve">图表：2019-2023年我国男性人口数量</w:t>
      </w:r>
    </w:p>
    <w:p>
      <w:pPr>
        <w:spacing w:after="150"/>
      </w:pPr>
      <w:r>
        <w:rPr/>
        <w:t xml:space="preserve">图表：2019-2023年我国女性人口数量</w:t>
      </w:r>
    </w:p>
    <w:p>
      <w:pPr>
        <w:spacing w:after="150"/>
      </w:pPr>
      <w:r>
        <w:rPr/>
        <w:t xml:space="preserve">图表：2019-2023年年末中国男女人口数占比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图表：2011-2023年各级普通学校毕业生升学率</w:t>
      </w:r>
    </w:p>
    <w:p>
      <w:pPr>
        <w:spacing w:after="150"/>
      </w:pPr>
      <w:r>
        <w:rPr/>
        <w:t xml:space="preserve">图表：主导产业选择体系模型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智慧社区产业发展分析及政府战略规划发展研究报告(2024-2029版)</dc:title>
  <dc:description>智慧社区产业发展分析及政府战略规划发展研究报告(2024-2029版)</dc:description>
  <dc:subject>智慧社区产业发展分析及政府战略规划发展研究报告(2024-2029版)</dc:subject>
  <cp:keywords>研究报告</cp:keywords>
  <cp:category>研究报告</cp:category>
  <cp:lastModifiedBy>北京中道泰和信息咨询有限公司</cp:lastModifiedBy>
  <dcterms:created xsi:type="dcterms:W3CDTF">2024-01-24T23:27:48+08:00</dcterms:created>
  <dcterms:modified xsi:type="dcterms:W3CDTF">2024-01-24T23:27:48+08:00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