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2019年在交错复杂的环境下，整个节能服务产业总产值以9.38%的增长，突破了5千亿大关，达到5222.37亿元。节能服务产业总产值从2010年836亿元增长到2019年的5222亿元，累计增长近5倍。2020年节能服务产业的总产值达到5916.53亿元，增长率为13.3%，受新冠肺炎疫情影响增幅较上一年逆势回升。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产业规模达到世界第一，截至2020年，我国从事节能服务的企业达到7046家，比2019增加472家;从业人员76.7万人，同比增长0.79%，已成为战略性新兴产业的重要组成部分;另一方面也促进传统产业提升质量和效益，为传统产业转型升级和推进绿色制造带来新机遇。</w:t>
      </w:r>
    </w:p>
    <w:p>
      <w:pPr>
        <w:spacing w:after="150"/>
      </w:pPr>
      <w:r>
        <w:rPr/>
        <w:t xml:space="preserve">市场规模</w:t>
      </w:r>
    </w:p>
    <w:p>
      <w:pPr>
        <w:spacing w:after="150"/>
      </w:pPr>
      <w:r>
        <w:rPr/>
        <w:t xml:space="preserve">2020年我国能源消费比2019年只增长2.2%，增速比2019年下降1.1个百分点，总量为497714万吨左右标准煤。2012年以来我国能耗水平明显降低。2012~2020年全国能源消费总量分别增长3.9%、3.7%、2.2%、0.9%、1.4%、2.9%、3.3%、3.3%、2.2%，年平均增速控制在3%以内。与同期GDP增速相比，2012~2020年单位国内生产总值能耗分别降低3.6%、3.8%、4.8%、5.6%、5.0%、3.7%、3.1%、2.6%、0.1%。9年间单位GDP能耗共降低超过28%，“十三五”期间累计下降近14%。这说明，我国以显著降低的能源消耗支持了经济增长，既节约了大量宝贵的能源，也相当于减少了大量的污染物排放和二氧化碳排放，有力证明我国经济持续转向并进入高质量发展。</w:t>
      </w:r>
    </w:p>
    <w:p>
      <w:pPr>
        <w:spacing w:after="150"/>
      </w:pPr>
      <w:r>
        <w:rPr/>
        <w:t xml:space="preserve">数据显示，2019年我国节能产业的合同能源管理项目投资对应形成年节能能力达到3801.13万吨标准煤，形成年减排二氧化碳能力10300.71万吨。从项目平均投资强度来看，2019年我国节能产业平均投资强度达到3002元/tce;其中，工业平均投资强度达到2396元/tce，建筑为6442元/tce，公共设施为12784元/tce。目前，工业节能和绿色发展已实现“十三五”规划预期目标。2016-2019年，单位工业增加值能耗预计累计下降15.6%，可降低能源消费4.8亿吨标煤。2020年合同能源管理项目投资新增1245.9亿元，形成年节能能力4050.06万吨标准煤，相当于减排二氧化碳10172.27万吨。</w:t>
      </w:r>
    </w:p>
    <w:p>
      <w:pPr>
        <w:spacing w:after="150"/>
      </w:pPr>
      <w:r>
        <w:rPr/>
        <w:t xml:space="preserve">“十四五”预测</w:t>
      </w:r>
    </w:p>
    <w:p>
      <w:pPr>
        <w:spacing w:after="150"/>
      </w:pPr>
      <w:r>
        <w:rPr/>
        <w:t xml:space="preserve">单位GDP能耗前四年持续下降，2020年因疫情下降甚微。自2015年大幅下降5.7%后，单位GDP能耗降速有所放缓，“十三五”前四年累计下降13.2%。“十四五”期间，“清洁、低碳、安全、高效”的能源发展与转型主题将更加鲜明，能源系统转型在各级政府和各部门工作中的权重将显著增大。若世界较早摆脱疫情困境，我国外贸恢复进程有望加速，国内国际双循环同向发力双轮驱动;若疫情持续时间较长、国际局势无明显改善，我国经济以国内大循环为主体的特征将更加凸显。预计“十四五”期间年均经济增速在5.6~6.0%范围，能源消费弹性大约降至0.35水平，能源消费年均增长2%左右，年均增量约1亿吨标煤，能源消费总量可控制在55亿吨标煤，单位GDP能耗有望再降16%。</w:t>
      </w:r>
    </w:p>
    <w:p>
      <w:pPr>
        <w:spacing w:after="150"/>
      </w:pPr>
      <w:r>
        <w:rPr/>
        <w:t xml:space="preserve">前景分析</w:t>
      </w:r>
    </w:p>
    <w:p>
      <w:pPr>
        <w:spacing w:after="150"/>
      </w:pPr>
      <w:r>
        <w:rPr/>
        <w:t xml:space="preserve">“十三五”节能环保市场潜力巨大，总的社会投资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2050年之前，节能和提高能效被视为全球能源系统二氧化碳减排的最主要途径。“2060年碳中和”新目标为节能服务产业发展注入强心针。节能服务产业作为实现碳达峰、碳中和目标任务的重要和主要力量，必将迎来新一轮的发展热潮。据测算，“十四五”期间，全社会节能投资需求超过2万亿。预计到“十四五”末，节能服务产业总产值超过1万亿元。</w:t>
      </w:r>
    </w:p>
    <w:p>
      <w:pPr>
        <w:spacing w:after="150"/>
      </w:pPr>
      <w:r>
        <w:rPr/>
        <w:t xml:space="preserve">区域格局</w:t>
      </w:r>
    </w:p>
    <w:p>
      <w:pPr>
        <w:spacing w:after="150"/>
      </w:pPr>
      <w:r>
        <w:rPr/>
        <w:t xml:space="preserve">据EMCA的数据显示，中国东部、中部、西部地区节能服务行业总产值贡献率分别为59.2%、26.7%、14.1%，区域发展依旧不均衡，差距明显。根据节能服务业务开展的区域来看，节能服务公司业务分布表现很集中。“东多西少”的特点十分显著，北京、广东和山东的节能服务企业数量最多;而西藏、宁夏、青海、甘肃等省则相对较少。其中华东地区占比最大约为25%;其次为华南地区，占比为22%;华北地区，占比为19%。</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 pest ）</w:t>
      </w:r>
    </w:p>
    <w:p>
      <w:pPr>
        <w:spacing w:after="150"/>
      </w:pPr>
      <w:r>
        <w:rPr/>
        <w:t xml:space="preserve">第一节 节能服务行业政策环境分析(p)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二、合同能源管理投资项目金额</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 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苏州吉能数字科技有限公司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深圳嘉力达节能科技有限公司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 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 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中国节能服务行业市场深度调研及发展战略与投资前景研究报告(2024-2029版)</dc:title>
  <dc:description>中国节能服务行业市场深度调研及发展战略与投资前景研究报告(2024-2029版)</dc:description>
  <dc:subject>中国节能服务行业市场深度调研及发展战略与投资前景研究报告(2024-2029版)</dc:subject>
  <cp:keywords>研究报告</cp:keywords>
  <cp:category>研究报告</cp:category>
  <cp:lastModifiedBy>北京中道泰和信息咨询有限公司</cp:lastModifiedBy>
  <dcterms:created xsi:type="dcterms:W3CDTF">2024-01-29T02:37:13+08:00</dcterms:created>
  <dcterms:modified xsi:type="dcterms:W3CDTF">2024-01-29T02:37:13+08:00</dcterms:modified>
</cp:coreProperties>
</file>

<file path=docProps/custom.xml><?xml version="1.0" encoding="utf-8"?>
<Properties xmlns="http://schemas.openxmlformats.org/officeDocument/2006/custom-properties" xmlns:vt="http://schemas.openxmlformats.org/officeDocument/2006/docPropsVTypes"/>
</file>