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真丝面料产品入市调查报告(2026-2031版)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真丝面料产品的功能及消费者关注的因素</w:t>
      </w:r>
    </w:p>
    <w:p>
      <w:pPr>
        <w:spacing w:before="75" w:after="0"/>
      </w:pPr>
      <w:r>
        <w:rPr/>
        <w:t xml:space="preserve">一、真丝面料产品功能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图表：真丝面料消费结构分析</w:t>
      </w:r>
    </w:p>
    <w:p>
      <w:pPr>
        <w:spacing w:before="75" w:after="0"/>
      </w:pPr>
      <w:r>
        <w:rPr/>
        <w:t xml:space="preserve">图表：真丝面料消费的市场变化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图表：真丝面料行业品牌忠诚度调查</w:t>
      </w:r>
    </w:p>
    <w:p>
      <w:pPr>
        <w:spacing w:before="75" w:after="0"/>
      </w:pPr>
      <w:r>
        <w:rPr/>
        <w:t xml:space="preserve">图表：真丝面料行业品牌市场占有率调查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真丝面料产品入市调查报告(2026-2031版)</dc:title>
  <dc:description>真丝面料产品入市调查报告(2026-2031版)</dc:description>
  <dc:subject>真丝面料产品入市调查报告(2026-2031版)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2026-04-03T17:00:07+08:00</dcterms:created>
  <dcterms:modified xsi:type="dcterms:W3CDTF">2026-04-03T17:00:07+08:00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