
<file path=[Content_Types].xml><?xml version="1.0" encoding="utf-8"?>
<Types xmlns="http://schemas.openxmlformats.org/package/2006/content-types">
  <Default Extension="rels" ContentType="application/vnd.openxmlformats-package.relationships+xml"/>
  <Default Extension="xml" ContentType="application/xml"/>
  <Override PartName="/docProps/core.xml" ContentType="application/vnd.openxmlformats-package.core-properties+xml"/>
  <Override PartName="/docProps/app.xml" ContentType="application/vnd.openxmlformats-officedocument.extended-properties+xml"/>
  <Override PartName="/docProps/custom.xml" ContentType="application/vnd.openxmlformats-officedocument.custom-properties+xml"/>
  <Override PartName="/word/document.xml" ContentType="application/vnd.openxmlformats-officedocument.wordprocessingml.document.main+xml"/>
  <Override PartName="/word/styles.xml" ContentType="application/vnd.openxmlformats-officedocument.wordprocessingml.styles+xml"/>
  <Override PartName="/word/numbering.xml" ContentType="application/vnd.openxmlformats-officedocument.wordprocessingml.numbering+xml"/>
  <Override PartName="/word/settings.xml" ContentType="application/vnd.openxmlformats-officedocument.wordprocessingml.settings+xml"/>
  <Override PartName="/word/theme/theme1.xml" ContentType="application/vnd.openxmlformats-officedocument.theme+xml"/>
  <Override PartName="/word/webSettings.xml" ContentType="application/vnd.openxmlformats-officedocument.wordprocessingml.webSettings+xml"/>
  <Override PartName="/word/fontTable.xml" ContentType="application/vnd.openxmlformats-officedocument.wordprocessingml.fontTable+xml"/>
  <Override PartName="/word/comments.xml" ContentType="application/vnd.openxmlformats-officedocument.wordprocessingml.comments+xml"/>
  <Override PartName="/word/header1.xml" ContentType="application/vnd.openxmlformats-officedocument.wordprocessingml.header+xml"/>
  <Override PartName="/word/footer1.xml" ContentType="application/vnd.openxmlformats-officedocument.wordprocessingml.footer+xml"/>
</Types>
</file>

<file path=_rels/.rels><?xml version="1.0" encoding="UTF-8" standalone="yes"?>
<Relationships xmlns="http://schemas.openxmlformats.org/package/2006/relationships"><Relationship Id="rId1" Type="http://schemas.openxmlformats.org/package/2006/relationships/metadata/core-properties" Target="docProps/core.xml"/><Relationship Id="rId2" Type="http://schemas.openxmlformats.org/officeDocument/2006/relationships/extended-properties" Target="docProps/app.xml"/><Relationship Id="rId3" Type="http://schemas.openxmlformats.org/officeDocument/2006/relationships/custom-properties" Target="docProps/custom.xml"/><Relationship Id="rId4" Type="http://schemas.openxmlformats.org/officeDocument/2006/relationships/officeDocument" Target="word/document.xml"/></Relationships>
</file>

<file path=word/document.xml><?xml version="1.0" encoding="utf-8"?>
<w:document xmlns:ve="http://schemas.openxmlformats.org/markup-compatibility/2006" xmlns:o="urn:schemas-microsoft-com:office:office" xmlns:r="http://schemas.openxmlformats.org/officeDocument/2006/relationships" xmlns:m="http://schemas.openxmlformats.org/officeDocument/2006/math" xmlns:v="urn:schemas-microsoft-com:vml" xmlns:wp="http://schemas.openxmlformats.org/drawingml/2006/wordprocessingDrawing" xmlns:w10="urn:schemas-microsoft-com:office:word" xmlns:w="http://schemas.openxmlformats.org/wordprocessingml/2006/main" xmlns:wne="http://schemas.microsoft.com/office/word/2006/wordml">
  <w:body>
    <w:p>
      <w:pPr>
        <w:jc w:val="center"/>
        <w:spacing w:after="150"/>
      </w:pPr>
      <w:r>
        <w:rPr>
          <w:b w:val="1"/>
          <w:bCs w:val="1"/>
        </w:rPr>
        <w:t xml:space="preserve">全球及中国多反应监测分析行业深度研究报告(2026-2031版)</w:t>
      </w:r>
    </w:p>
    <w:p>
      <w:pPr>
        <w:spacing w:after="150"/>
      </w:pPr>
      <w:r>
        <w:rPr>
          <w:b w:val="1"/>
          <w:bCs w:val="1"/>
        </w:rPr>
        <w:t xml:space="preserve">报告简介</w:t>
      </w:r>
    </w:p>
    <w:p>
      <w:pPr>
        <w:spacing w:after="150"/>
      </w:pPr>
      <w:r>
        <w:rPr/>
        <w:t xml:space="preserve">概述</w:t>
      </w:r>
    </w:p>
    <w:p>
      <w:pPr>
        <w:spacing w:after="150"/>
      </w:pPr>
      <w:r>
        <w:rPr/>
        <w:t xml:space="preserve">本报告《全球及中国多反应监测分析市场洞察报告》，旨在通过系统性研究，梳理国内外多反应监测分析行业发展现状与趋势，估算多反应监测分析行业市场总体规模及主要国家市场占比，解析多反应监测分析行业各细分赛道发展潜力，研判多反应监测分析下游市场需求，分析多反应监测分析行业竞争格局，从而协助解决多反应监测分析行业各利益相关者的痛点。本行业研究报告结合桌面研究、业内人士或专家定性访谈等方式，力求结论、数据的客观与完整。</w:t>
      </w:r>
    </w:p>
    <w:p>
      <w:pPr>
        <w:spacing w:after="150"/>
      </w:pPr>
      <w:r>
        <w:rPr/>
        <w:t xml:space="preserve">全球多反应监测分析主要生产商：</w:t>
      </w:r>
    </w:p>
    <w:p>
      <w:pPr>
        <w:spacing w:after="150"/>
      </w:pPr>
      <w:r>
        <w:rPr/>
        <w:t xml:space="preserve">MRM Proteomics</w:t>
      </w:r>
    </w:p>
    <w:p>
      <w:pPr>
        <w:spacing w:after="150"/>
      </w:pPr>
      <w:r>
        <w:rPr/>
        <w:t xml:space="preserve">Sigma Aldrich</w:t>
      </w:r>
    </w:p>
    <w:p>
      <w:pPr>
        <w:spacing w:after="150"/>
      </w:pPr>
      <w:r>
        <w:rPr/>
        <w:t xml:space="preserve">Thermo Fisher Scientific</w:t>
      </w:r>
    </w:p>
    <w:p>
      <w:pPr>
        <w:spacing w:after="150"/>
      </w:pPr>
      <w:r>
        <w:rPr/>
        <w:t xml:space="preserve">Alphalyse</w:t>
      </w:r>
    </w:p>
    <w:p>
      <w:pPr>
        <w:spacing w:after="150"/>
      </w:pPr>
      <w:r>
        <w:rPr/>
        <w:t xml:space="preserve">Proteomics</w:t>
      </w:r>
    </w:p>
    <w:p>
      <w:pPr>
        <w:spacing w:after="150"/>
      </w:pPr>
      <w:r>
        <w:rPr/>
        <w:t xml:space="preserve">Luminex Corporation</w:t>
      </w:r>
    </w:p>
    <w:p>
      <w:pPr>
        <w:spacing w:after="150"/>
      </w:pPr>
      <w:r>
        <w:rPr/>
        <w:t xml:space="preserve">Abcam PLC</w:t>
      </w:r>
    </w:p>
    <w:p>
      <w:pPr>
        <w:spacing w:after="150"/>
      </w:pPr>
      <w:r>
        <w:rPr/>
        <w:t xml:space="preserve">Seegene Inc</w:t>
      </w:r>
    </w:p>
    <w:p>
      <w:pPr>
        <w:spacing w:after="150"/>
      </w:pPr>
      <w:r>
        <w:rPr/>
        <w:t xml:space="preserve">Bio-Rad Laboratories, Inc</w:t>
      </w:r>
    </w:p>
    <w:p>
      <w:pPr>
        <w:spacing w:after="150"/>
      </w:pPr>
      <w:r>
        <w:rPr/>
        <w:t xml:space="preserve">Becton, Dickinson and Company</w:t>
      </w:r>
    </w:p>
    <w:p>
      <w:pPr>
        <w:spacing w:after="150"/>
      </w:pPr>
      <w:r>
        <w:rPr/>
        <w:t xml:space="preserve">Illumina, Inc</w:t>
      </w:r>
    </w:p>
    <w:p>
      <w:pPr>
        <w:spacing w:after="150"/>
      </w:pPr>
      <w:r>
        <w:rPr/>
        <w:t xml:space="preserve">QIAGEN NV</w:t>
      </w:r>
    </w:p>
    <w:p>
      <w:pPr>
        <w:spacing w:after="150"/>
      </w:pPr>
      <w:r>
        <w:rPr/>
        <w:t xml:space="preserve">Randox Laboratories Ltd</w:t>
      </w:r>
    </w:p>
    <w:p>
      <w:pPr>
        <w:spacing w:after="150"/>
      </w:pPr>
      <w:r>
        <w:rPr/>
        <w:t xml:space="preserve">Meso Scale Diagnostics, LLC</w:t>
      </w:r>
    </w:p>
    <w:p>
      <w:pPr>
        <w:spacing w:after="150"/>
      </w:pPr>
      <w:r>
        <w:rPr/>
        <w:t xml:space="preserve">本报告重点分析了全球及以下几个地区市场，包括多反应监测分析产销现状及前景预测：</w:t>
      </w:r>
    </w:p>
    <w:p>
      <w:pPr>
        <w:spacing w:after="150"/>
      </w:pPr>
      <w:r>
        <w:rPr/>
        <w:t xml:space="preserve">中国</w:t>
      </w:r>
    </w:p>
    <w:p>
      <w:pPr>
        <w:spacing w:after="150"/>
      </w:pPr>
      <w:r>
        <w:rPr/>
        <w:t xml:space="preserve">美国</w:t>
      </w:r>
    </w:p>
    <w:p>
      <w:pPr>
        <w:spacing w:after="150"/>
      </w:pPr>
      <w:r>
        <w:rPr/>
        <w:t xml:space="preserve">欧洲</w:t>
      </w:r>
    </w:p>
    <w:p>
      <w:pPr>
        <w:spacing w:after="150"/>
      </w:pPr>
      <w:r>
        <w:rPr/>
        <w:t xml:space="preserve">日本</w:t>
      </w:r>
    </w:p>
    <w:p>
      <w:pPr>
        <w:spacing w:after="150"/>
      </w:pPr>
      <w:r>
        <w:rPr/>
        <w:t xml:space="preserve">东南亚</w:t>
      </w:r>
    </w:p>
    <w:p>
      <w:pPr>
        <w:spacing w:after="150"/>
      </w:pPr>
      <w:r>
        <w:rPr/>
        <w:t xml:space="preserve">印度</w:t>
      </w:r>
    </w:p>
    <w:p>
      <w:pPr>
        <w:spacing w:after="150"/>
      </w:pPr>
      <w:r>
        <w:rPr/>
        <w:t xml:space="preserve">多反应监测分析产品细分为以下几类，报告详细分析了各细分产品价格、产量、销量、市场占比：</w:t>
      </w:r>
    </w:p>
    <w:p>
      <w:pPr>
        <w:spacing w:after="150"/>
      </w:pPr>
      <w:r>
        <w:rPr/>
        <w:t xml:space="preserve">人体多反应监测分析</w:t>
      </w:r>
    </w:p>
    <w:p>
      <w:pPr>
        <w:spacing w:after="150"/>
      </w:pPr>
      <w:r>
        <w:rPr/>
        <w:t xml:space="preserve">癌症多反应监测分析</w:t>
      </w:r>
    </w:p>
    <w:p>
      <w:pPr>
        <w:spacing w:after="150"/>
      </w:pPr>
      <w:r>
        <w:rPr/>
        <w:t xml:space="preserve">自定义多反应监测分析</w:t>
      </w:r>
    </w:p>
    <w:p>
      <w:pPr>
        <w:spacing w:after="150"/>
      </w:pPr>
      <w:r>
        <w:rPr/>
        <w:t xml:space="preserve">心血管多反应监测分析</w:t>
      </w:r>
    </w:p>
    <w:p>
      <w:pPr>
        <w:spacing w:after="150"/>
      </w:pPr>
      <w:r>
        <w:rPr/>
        <w:t xml:space="preserve">各细分应用领域销量及消费变化趋势，前景预测及市场占比分析，细分应用领域如下所示：</w:t>
      </w:r>
    </w:p>
    <w:p>
      <w:pPr>
        <w:spacing w:after="150"/>
      </w:pPr>
      <w:r>
        <w:rPr/>
        <w:t xml:space="preserve">医院</w:t>
      </w:r>
    </w:p>
    <w:p>
      <w:pPr>
        <w:spacing w:after="150"/>
      </w:pPr>
      <w:r>
        <w:rPr/>
        <w:t xml:space="preserve">研究机构</w:t>
      </w:r>
    </w:p>
    <w:p>
      <w:pPr>
        <w:spacing w:after="150"/>
      </w:pPr>
      <w:r>
        <w:rPr/>
        <w:t xml:space="preserve">诊断中心</w:t>
      </w:r>
    </w:p>
    <w:p>
      <w:pPr>
        <w:spacing w:after="150"/>
      </w:pPr>
      <w:r>
        <w:rPr>
          <w:b w:val="1"/>
          <w:bCs w:val="1"/>
        </w:rPr>
        <w:t xml:space="preserve">报告目录</w:t>
      </w:r>
    </w:p>
    <w:p>
      <w:pPr>
        <w:spacing w:before="75" w:after="0"/>
      </w:pPr>
      <w:r>
        <w:rPr>
          <w:b w:val="1"/>
          <w:bCs w:val="1"/>
        </w:rPr>
        <w:t xml:space="preserve">1 多反应监测分析行业概述</w:t>
      </w:r>
    </w:p>
    <w:p>
      <w:pPr>
        <w:spacing w:before="75" w:after="0"/>
      </w:pPr>
      <w:r>
        <w:rPr/>
        <w:t xml:space="preserve">1.1 多反应监测分析定义及报告研究范围</w:t>
      </w:r>
    </w:p>
    <w:p>
      <w:pPr>
        <w:spacing w:before="75" w:after="0"/>
      </w:pPr>
      <w:r>
        <w:rPr/>
        <w:t xml:space="preserve">1.2 多反应监测分析产品分类及头部企业</w:t>
      </w:r>
    </w:p>
    <w:p>
      <w:pPr>
        <w:spacing w:before="75" w:after="0"/>
      </w:pPr>
      <w:r>
        <w:rPr/>
        <w:t xml:space="preserve">1.3 全球及中国市场多反应监测分析行业相关政策</w:t>
      </w:r>
    </w:p>
    <w:p>
      <w:pPr>
        <w:spacing w:before="75" w:after="0"/>
      </w:pPr>
      <w:r>
        <w:rPr>
          <w:b w:val="1"/>
          <w:bCs w:val="1"/>
        </w:rPr>
        <w:t xml:space="preserve">2 全球多反应监测分析市场产业链分析</w:t>
      </w:r>
    </w:p>
    <w:p>
      <w:pPr>
        <w:spacing w:before="75" w:after="0"/>
      </w:pPr>
      <w:r>
        <w:rPr/>
        <w:t xml:space="preserve">2.1 多反应监测分析产业链</w:t>
      </w:r>
    </w:p>
    <w:p>
      <w:pPr>
        <w:spacing w:before="75" w:after="0"/>
      </w:pPr>
      <w:r>
        <w:rPr/>
        <w:t xml:space="preserve">2.2 多反应监测分析产业链上游</w:t>
      </w:r>
    </w:p>
    <w:p>
      <w:pPr>
        <w:spacing w:before="75" w:after="0"/>
      </w:pPr>
      <w:r>
        <w:rPr/>
        <w:t xml:space="preserve">2.2.1 上游主要国外企业</w:t>
      </w:r>
    </w:p>
    <w:p>
      <w:pPr>
        <w:spacing w:before="75" w:after="0"/>
      </w:pPr>
      <w:r>
        <w:rPr/>
        <w:t xml:space="preserve">2.2.2 上游主要国内企业</w:t>
      </w:r>
    </w:p>
    <w:p>
      <w:pPr>
        <w:spacing w:before="75" w:after="0"/>
      </w:pPr>
      <w:r>
        <w:rPr/>
        <w:t xml:space="preserve">2.3 多反应监测分析产业链中游</w:t>
      </w:r>
    </w:p>
    <w:p>
      <w:pPr>
        <w:spacing w:before="75" w:after="0"/>
      </w:pPr>
      <w:r>
        <w:rPr/>
        <w:t xml:space="preserve">2.3.1 全球多反应监测分析主要生产商生产基地及产品覆盖领域</w:t>
      </w:r>
    </w:p>
    <w:p>
      <w:pPr>
        <w:spacing w:before="75" w:after="0"/>
      </w:pPr>
      <w:r>
        <w:rPr/>
        <w:t xml:space="preserve">2.3.2 全球多反应监测分析主要生产商销量排名及市场集中率分析</w:t>
      </w:r>
    </w:p>
    <w:p>
      <w:pPr>
        <w:spacing w:before="75" w:after="0"/>
      </w:pPr>
      <w:r>
        <w:rPr/>
        <w:t xml:space="preserve">2.4 全球多反应监测分析下游细分市场销量及市场占比(2021-2026年)</w:t>
      </w:r>
    </w:p>
    <w:p>
      <w:pPr>
        <w:spacing w:before="75" w:after="0"/>
      </w:pPr>
      <w:r>
        <w:rPr/>
        <w:t xml:space="preserve">2.4.1 全球多反应监测分析下游细分市场销量占比(2021-2026年)</w:t>
      </w:r>
    </w:p>
    <w:p>
      <w:pPr>
        <w:spacing w:before="75" w:after="0"/>
      </w:pPr>
      <w:r>
        <w:rPr/>
        <w:t xml:space="preserve">2.4.2 医院</w:t>
      </w:r>
    </w:p>
    <w:p>
      <w:pPr>
        <w:spacing w:before="75" w:after="0"/>
      </w:pPr>
      <w:r>
        <w:rPr/>
        <w:t xml:space="preserve">2.4.3 研究机构</w:t>
      </w:r>
    </w:p>
    <w:p>
      <w:pPr>
        <w:spacing w:before="75" w:after="0"/>
      </w:pPr>
      <w:r>
        <w:rPr/>
        <w:t xml:space="preserve">2.4.4 …...</w:t>
      </w:r>
    </w:p>
    <w:p>
      <w:pPr>
        <w:spacing w:before="75" w:after="0"/>
      </w:pPr>
      <w:r>
        <w:rPr/>
        <w:t xml:space="preserve">2.5 中国多反应监测分析销售现状及下游细分市场分析(2021-2026年)</w:t>
      </w:r>
    </w:p>
    <w:p>
      <w:pPr>
        <w:spacing w:before="75" w:after="0"/>
      </w:pPr>
      <w:r>
        <w:rPr/>
        <w:t xml:space="preserve">2.5.1 中国多反应监测分析下游细分市场销量占比(2021-2026年)</w:t>
      </w:r>
    </w:p>
    <w:p>
      <w:pPr>
        <w:spacing w:before="75" w:after="0"/>
      </w:pPr>
      <w:r>
        <w:rPr/>
        <w:t xml:space="preserve">2.5.2 医院</w:t>
      </w:r>
    </w:p>
    <w:p>
      <w:pPr>
        <w:spacing w:before="75" w:after="0"/>
      </w:pPr>
      <w:r>
        <w:rPr/>
        <w:t xml:space="preserve">2.5.3 研究机构</w:t>
      </w:r>
    </w:p>
    <w:p>
      <w:pPr>
        <w:spacing w:before="75" w:after="0"/>
      </w:pPr>
      <w:r>
        <w:rPr/>
        <w:t xml:space="preserve">2.5.4 …...</w:t>
      </w:r>
    </w:p>
    <w:p>
      <w:pPr>
        <w:spacing w:before="75" w:after="0"/>
      </w:pPr>
      <w:r>
        <w:rPr>
          <w:b w:val="1"/>
          <w:bCs w:val="1"/>
        </w:rPr>
        <w:t xml:space="preserve">3 全球多反应监测分析市场发展状况及前景分析</w:t>
      </w:r>
    </w:p>
    <w:p>
      <w:pPr>
        <w:spacing w:before="75" w:after="0"/>
      </w:pPr>
      <w:r>
        <w:rPr/>
        <w:t xml:space="preserve">3.1 全球多反应监测分析供需现状及预测(2026-2031年)</w:t>
      </w:r>
    </w:p>
    <w:p>
      <w:pPr>
        <w:spacing w:before="75" w:after="0"/>
      </w:pPr>
      <w:r>
        <w:rPr/>
        <w:t xml:space="preserve">3.1.1 全球多反应监测分析产能、产量、产能利用率(2021-2026年)</w:t>
      </w:r>
    </w:p>
    <w:p>
      <w:pPr>
        <w:spacing w:before="75" w:after="0"/>
      </w:pPr>
      <w:r>
        <w:rPr/>
        <w:t xml:space="preserve">3.1.2 全球市场各类型多反应监测分析产量及预测(2026-2031年)</w:t>
      </w:r>
    </w:p>
    <w:p>
      <w:pPr>
        <w:spacing w:before="75" w:after="0"/>
      </w:pPr>
      <w:r>
        <w:rPr/>
        <w:t xml:space="preserve">3.2 全球多反应监测分析行业竞争格局分析</w:t>
      </w:r>
    </w:p>
    <w:p>
      <w:pPr>
        <w:spacing w:before="75" w:after="0"/>
      </w:pPr>
      <w:r>
        <w:rPr/>
        <w:t xml:space="preserve">3.2.1 全球主要多反应监测分析生产商销量及市场占有率(2021-2026年)</w:t>
      </w:r>
    </w:p>
    <w:p>
      <w:pPr>
        <w:spacing w:before="75" w:after="0"/>
      </w:pPr>
      <w:r>
        <w:rPr/>
        <w:t xml:space="preserve">3.2.2 全球主要多反应监测分析生产商销售额及市场占有率(2021-2026年)</w:t>
      </w:r>
    </w:p>
    <w:p>
      <w:pPr>
        <w:spacing w:before="75" w:after="0"/>
      </w:pPr>
      <w:r>
        <w:rPr>
          <w:b w:val="1"/>
          <w:bCs w:val="1"/>
        </w:rPr>
        <w:t xml:space="preserve">4 全球主要地区多反应监测分析市场规模占比分析</w:t>
      </w:r>
    </w:p>
    <w:p>
      <w:pPr>
        <w:spacing w:before="75" w:after="0"/>
      </w:pPr>
      <w:r>
        <w:rPr/>
        <w:t xml:space="preserve">4.1 全球主要地区多反应监测分析产量占比</w:t>
      </w:r>
    </w:p>
    <w:p>
      <w:pPr>
        <w:spacing w:before="75" w:after="0"/>
      </w:pPr>
      <w:r>
        <w:rPr/>
        <w:t xml:space="preserve">4.2 美国市场多反应监测分析产量及增长率(2021-2026年)</w:t>
      </w:r>
    </w:p>
    <w:p>
      <w:pPr>
        <w:spacing w:before="75" w:after="0"/>
      </w:pPr>
      <w:r>
        <w:rPr/>
        <w:t xml:space="preserve">4.3 欧洲市场多反应监测分析产量及增长率(2021-2026年)</w:t>
      </w:r>
    </w:p>
    <w:p>
      <w:pPr>
        <w:spacing w:before="75" w:after="0"/>
      </w:pPr>
      <w:r>
        <w:rPr/>
        <w:t xml:space="preserve">4.4 日本市场多反应监测分析产量及增长率(2021-2026年)</w:t>
      </w:r>
    </w:p>
    <w:p>
      <w:pPr>
        <w:spacing w:before="75" w:after="0"/>
      </w:pPr>
      <w:r>
        <w:rPr/>
        <w:t xml:space="preserve">4.5 东南亚市场多反应监测分析产量及增长率(2021-2026年)</w:t>
      </w:r>
    </w:p>
    <w:p>
      <w:pPr>
        <w:spacing w:before="75" w:after="0"/>
      </w:pPr>
      <w:r>
        <w:rPr/>
        <w:t xml:space="preserve">4.6 印度市场多反应监测分析产量及增长率(2021-2026年)</w:t>
      </w:r>
    </w:p>
    <w:p>
      <w:pPr>
        <w:spacing w:before="75" w:after="0"/>
      </w:pPr>
      <w:r>
        <w:rPr>
          <w:b w:val="1"/>
          <w:bCs w:val="1"/>
        </w:rPr>
        <w:t xml:space="preserve">5 全球多反应监测分析销售状况及需求前景</w:t>
      </w:r>
    </w:p>
    <w:p>
      <w:pPr>
        <w:spacing w:before="75" w:after="0"/>
      </w:pPr>
      <w:r>
        <w:rPr/>
        <w:t xml:space="preserve">5.1 全球主要地区多反应监测分析消量及销售额占比(2021-2026年)</w:t>
      </w:r>
    </w:p>
    <w:p>
      <w:pPr>
        <w:spacing w:before="75" w:after="0"/>
      </w:pPr>
      <w:r>
        <w:rPr/>
        <w:t xml:space="preserve">5.2 美国市场多反应监测分析销售现状及预测(2026-2031年)</w:t>
      </w:r>
    </w:p>
    <w:p>
      <w:pPr>
        <w:spacing w:before="75" w:after="0"/>
      </w:pPr>
      <w:r>
        <w:rPr/>
        <w:t xml:space="preserve">5.2.1 印度市场多反应监测分析销量及增长率(2021-2026年)</w:t>
      </w:r>
    </w:p>
    <w:p>
      <w:pPr>
        <w:spacing w:before="75" w:after="0"/>
      </w:pPr>
      <w:r>
        <w:rPr/>
        <w:t xml:space="preserve">5.2.2 印度市场多反应监测分析销售额及增长率(2021-2026年)</w:t>
      </w:r>
    </w:p>
    <w:p>
      <w:pPr>
        <w:spacing w:before="75" w:after="0"/>
      </w:pPr>
      <w:r>
        <w:rPr/>
        <w:t xml:space="preserve">5.3 欧洲市场多反应监测分析销售现状及预测(2026-2031年)</w:t>
      </w:r>
    </w:p>
    <w:p>
      <w:pPr>
        <w:spacing w:before="75" w:after="0"/>
      </w:pPr>
      <w:r>
        <w:rPr/>
        <w:t xml:space="preserve">5.3.1 欧洲市场多反应监测分析销量及增长率(2021-2026年)</w:t>
      </w:r>
    </w:p>
    <w:p>
      <w:pPr>
        <w:spacing w:before="75" w:after="0"/>
      </w:pPr>
      <w:r>
        <w:rPr/>
        <w:t xml:space="preserve">5.3.2 欧洲市场多反应监测分析销售额及增长率(2021-2026年)</w:t>
      </w:r>
    </w:p>
    <w:p>
      <w:pPr>
        <w:spacing w:before="75" w:after="0"/>
      </w:pPr>
      <w:r>
        <w:rPr/>
        <w:t xml:space="preserve">5.4 日本市场多反应监测分析销售现状及预测(2026-2031年)</w:t>
      </w:r>
    </w:p>
    <w:p>
      <w:pPr>
        <w:spacing w:before="75" w:after="0"/>
      </w:pPr>
      <w:r>
        <w:rPr/>
        <w:t xml:space="preserve">5.4.1 日本市场多反应监测分析销量及增长率(2021-2026年)</w:t>
      </w:r>
    </w:p>
    <w:p>
      <w:pPr>
        <w:spacing w:before="75" w:after="0"/>
      </w:pPr>
      <w:r>
        <w:rPr/>
        <w:t xml:space="preserve">5.4.2 日本市场多反应监测分析销售额及增长率(2021-2026年)</w:t>
      </w:r>
    </w:p>
    <w:p>
      <w:pPr>
        <w:spacing w:before="75" w:after="0"/>
      </w:pPr>
      <w:r>
        <w:rPr/>
        <w:t xml:space="preserve">5.5 东南亚市场多反应监测分析销售现状及预测(2026-2031年)</w:t>
      </w:r>
    </w:p>
    <w:p>
      <w:pPr>
        <w:spacing w:before="75" w:after="0"/>
      </w:pPr>
      <w:r>
        <w:rPr/>
        <w:t xml:space="preserve">5.5.1 东南亚市场多反应监测分析销量及增长率(2021-2026年)</w:t>
      </w:r>
    </w:p>
    <w:p>
      <w:pPr>
        <w:spacing w:before="75" w:after="0"/>
      </w:pPr>
      <w:r>
        <w:rPr/>
        <w:t xml:space="preserve">5.5.2 东南亚市场多反应监测分析销售额及增长率(2021-2026年)</w:t>
      </w:r>
    </w:p>
    <w:p>
      <w:pPr>
        <w:spacing w:before="75" w:after="0"/>
      </w:pPr>
      <w:r>
        <w:rPr/>
        <w:t xml:space="preserve">5.6 印度市场多反应监测分析销售现状及预测(2026-2031年)</w:t>
      </w:r>
    </w:p>
    <w:p>
      <w:pPr>
        <w:spacing w:before="75" w:after="0"/>
      </w:pPr>
      <w:r>
        <w:rPr/>
        <w:t xml:space="preserve">5.6.1 印度市场多反应监测分析销量及增长率(2021-2026年)</w:t>
      </w:r>
    </w:p>
    <w:p>
      <w:pPr>
        <w:spacing w:before="75" w:after="0"/>
      </w:pPr>
      <w:r>
        <w:rPr/>
        <w:t xml:space="preserve">5.6.2 印度市场多反应监测分析销售额及增长率(2021-2026年)</w:t>
      </w:r>
    </w:p>
    <w:p>
      <w:pPr>
        <w:spacing w:before="75" w:after="0"/>
      </w:pPr>
      <w:r>
        <w:rPr>
          <w:b w:val="1"/>
          <w:bCs w:val="1"/>
        </w:rPr>
        <w:t xml:space="preserve">6 中国多反应监测分析市场发展状况及前景分析</w:t>
      </w:r>
    </w:p>
    <w:p>
      <w:pPr>
        <w:spacing w:before="75" w:after="0"/>
      </w:pPr>
      <w:r>
        <w:rPr/>
        <w:t xml:space="preserve">6.1 中国多反应监测分析供需现状及预测(2026-2031年)</w:t>
      </w:r>
    </w:p>
    <w:p>
      <w:pPr>
        <w:spacing w:before="75" w:after="0"/>
      </w:pPr>
      <w:r>
        <w:rPr/>
        <w:t xml:space="preserve">6.1.1 中国多反应监测分析产能、产量、产能利用率(2021-2026年)</w:t>
      </w:r>
    </w:p>
    <w:p>
      <w:pPr>
        <w:spacing w:before="75" w:after="0"/>
      </w:pPr>
      <w:r>
        <w:rPr/>
        <w:t xml:space="preserve">6.1.2 中国市场各类型多反应监测分析产量及预测(2026-2031年)</w:t>
      </w:r>
    </w:p>
    <w:p>
      <w:pPr>
        <w:spacing w:before="75" w:after="0"/>
      </w:pPr>
      <w:r>
        <w:rPr/>
        <w:t xml:space="preserve">6.2 中国多反应监测分析厂商销量排行</w:t>
      </w:r>
    </w:p>
    <w:p>
      <w:pPr>
        <w:spacing w:before="75" w:after="0"/>
      </w:pPr>
      <w:r>
        <w:rPr/>
        <w:t xml:space="preserve">6.2.1 中国市场多反应监测分析主要生产商销量及市场份额(2021-2026年)</w:t>
      </w:r>
    </w:p>
    <w:p>
      <w:pPr>
        <w:spacing w:before="75" w:after="0"/>
      </w:pPr>
      <w:r>
        <w:rPr/>
        <w:t xml:space="preserve">6.2.2 中国市场多反应监测分析主要生产商销售额及市场份额(2021-2026年)</w:t>
      </w:r>
    </w:p>
    <w:p>
      <w:pPr>
        <w:spacing w:before="75" w:after="0"/>
      </w:pPr>
      <w:r>
        <w:rPr/>
        <w:t xml:space="preserve">6.3 中国市场多反应监测分析销量前五生产商市场定位分析</w:t>
      </w:r>
    </w:p>
    <w:p>
      <w:pPr>
        <w:spacing w:before="75" w:after="0"/>
      </w:pPr>
      <w:r>
        <w:rPr>
          <w:b w:val="1"/>
          <w:bCs w:val="1"/>
        </w:rPr>
        <w:t xml:space="preserve">7 中国市场多反应监测分析进出口发展趋势及预测</w:t>
      </w:r>
    </w:p>
    <w:p>
      <w:pPr>
        <w:spacing w:before="75" w:after="0"/>
      </w:pPr>
      <w:r>
        <w:rPr/>
        <w:t xml:space="preserve">7.1 中国多反应监测分析进出口量及增长率(2021-2026年)</w:t>
      </w:r>
    </w:p>
    <w:p>
      <w:pPr>
        <w:spacing w:before="75" w:after="0"/>
      </w:pPr>
      <w:r>
        <w:rPr/>
        <w:t xml:space="preserve">7.2 中国多反应监测分析主要进口来源</w:t>
      </w:r>
    </w:p>
    <w:p>
      <w:pPr>
        <w:spacing w:before="75" w:after="0"/>
      </w:pPr>
      <w:r>
        <w:rPr/>
        <w:t xml:space="preserve">7.3 中国多反应监测分析主要出口国</w:t>
      </w:r>
    </w:p>
    <w:p>
      <w:pPr>
        <w:spacing w:before="75" w:after="0"/>
      </w:pPr>
      <w:r>
        <w:rPr>
          <w:b w:val="1"/>
          <w:bCs w:val="1"/>
        </w:rPr>
        <w:t xml:space="preserve">8 多反应监测分析竞争企业分析</w:t>
      </w:r>
    </w:p>
    <w:p>
      <w:pPr>
        <w:spacing w:before="75" w:after="0"/>
      </w:pPr>
      <w:r>
        <w:rPr/>
        <w:t xml:space="preserve">8.1 MRM Proteomics</w:t>
      </w:r>
    </w:p>
    <w:p>
      <w:pPr>
        <w:spacing w:before="75" w:after="0"/>
      </w:pPr>
      <w:r>
        <w:rPr/>
        <w:t xml:space="preserve">8.1.1 MRM Proteomics 企业概况</w:t>
      </w:r>
    </w:p>
    <w:p>
      <w:pPr>
        <w:spacing w:before="75" w:after="0"/>
      </w:pPr>
      <w:r>
        <w:rPr/>
        <w:t xml:space="preserve">8.1.2 MRM Proteomics 相关产品介绍或参数</w:t>
      </w:r>
    </w:p>
    <w:p>
      <w:pPr>
        <w:spacing w:before="75" w:after="0"/>
      </w:pPr>
      <w:r>
        <w:rPr/>
        <w:t xml:space="preserve">8.1.3 MRM Proteomics 销量、销售额及价格(2021-2026年)</w:t>
      </w:r>
    </w:p>
    <w:p>
      <w:pPr>
        <w:spacing w:before="75" w:after="0"/>
      </w:pPr>
      <w:r>
        <w:rPr/>
        <w:t xml:space="preserve">8.1.4 MRM Proteomics 商业动态</w:t>
      </w:r>
    </w:p>
    <w:p>
      <w:pPr>
        <w:spacing w:before="75" w:after="0"/>
      </w:pPr>
      <w:r>
        <w:rPr/>
        <w:t xml:space="preserve">8.2 Sigma Aldrich</w:t>
      </w:r>
    </w:p>
    <w:p>
      <w:pPr>
        <w:spacing w:before="75" w:after="0"/>
      </w:pPr>
      <w:r>
        <w:rPr/>
        <w:t xml:space="preserve">8.2.1 Sigma Aldrich 企业概况</w:t>
      </w:r>
    </w:p>
    <w:p>
      <w:pPr>
        <w:spacing w:before="75" w:after="0"/>
      </w:pPr>
      <w:r>
        <w:rPr/>
        <w:t xml:space="preserve">8.2.2 Sigma Aldrich 相关产品介绍或参数</w:t>
      </w:r>
    </w:p>
    <w:p>
      <w:pPr>
        <w:spacing w:before="75" w:after="0"/>
      </w:pPr>
      <w:r>
        <w:rPr/>
        <w:t xml:space="preserve">8.2.3 Sigma Aldrich 销量、销售额及价格(2021-2026年)</w:t>
      </w:r>
    </w:p>
    <w:p>
      <w:pPr>
        <w:spacing w:before="75" w:after="0"/>
      </w:pPr>
      <w:r>
        <w:rPr/>
        <w:t xml:space="preserve">8.2.4 Sigma Aldrich 商业动态</w:t>
      </w:r>
    </w:p>
    <w:p>
      <w:pPr>
        <w:spacing w:before="75" w:after="0"/>
      </w:pPr>
      <w:r>
        <w:rPr/>
        <w:t xml:space="preserve">8.3 Thermo Fisher Scientific</w:t>
      </w:r>
    </w:p>
    <w:p>
      <w:pPr>
        <w:spacing w:before="75" w:after="0"/>
      </w:pPr>
      <w:r>
        <w:rPr/>
        <w:t xml:space="preserve">8.3.1 Thermo Fisher Scientific 企业概况</w:t>
      </w:r>
    </w:p>
    <w:p>
      <w:pPr>
        <w:spacing w:before="75" w:after="0"/>
      </w:pPr>
      <w:r>
        <w:rPr/>
        <w:t xml:space="preserve">8.3.2 Thermo Fisher Scientific 相关产品介绍或参数</w:t>
      </w:r>
    </w:p>
    <w:p>
      <w:pPr>
        <w:spacing w:before="75" w:after="0"/>
      </w:pPr>
      <w:r>
        <w:rPr/>
        <w:t xml:space="preserve">8.3.3 Thermo Fisher Scientific 销量、销售额及价格(2021-2026年)</w:t>
      </w:r>
    </w:p>
    <w:p>
      <w:pPr>
        <w:spacing w:before="75" w:after="0"/>
      </w:pPr>
      <w:r>
        <w:rPr/>
        <w:t xml:space="preserve">8.3.4 Thermo Fisher Scientific 商业动态</w:t>
      </w:r>
    </w:p>
    <w:p>
      <w:pPr>
        <w:spacing w:before="75" w:after="0"/>
      </w:pPr>
      <w:r>
        <w:rPr/>
        <w:t xml:space="preserve">8.4 Alphalyse</w:t>
      </w:r>
    </w:p>
    <w:p>
      <w:pPr>
        <w:spacing w:before="75" w:after="0"/>
      </w:pPr>
      <w:r>
        <w:rPr/>
        <w:t xml:space="preserve">8.4.1 Alphalyse 企业概况</w:t>
      </w:r>
    </w:p>
    <w:p>
      <w:pPr>
        <w:spacing w:before="75" w:after="0"/>
      </w:pPr>
      <w:r>
        <w:rPr/>
        <w:t xml:space="preserve">8.4.2 Alphalyse 相关产品介绍或参数</w:t>
      </w:r>
    </w:p>
    <w:p>
      <w:pPr>
        <w:spacing w:before="75" w:after="0"/>
      </w:pPr>
      <w:r>
        <w:rPr/>
        <w:t xml:space="preserve">8.4.3 Alphalyse 销量、销售额及价格(2021-2026年)</w:t>
      </w:r>
    </w:p>
    <w:p>
      <w:pPr>
        <w:spacing w:before="75" w:after="0"/>
      </w:pPr>
      <w:r>
        <w:rPr/>
        <w:t xml:space="preserve">8.4.4 Alphalyse 商业动态</w:t>
      </w:r>
    </w:p>
    <w:p>
      <w:pPr>
        <w:spacing w:before="75" w:after="0"/>
      </w:pPr>
      <w:r>
        <w:rPr/>
        <w:t xml:space="preserve">8.5 Proteomics</w:t>
      </w:r>
    </w:p>
    <w:p>
      <w:pPr>
        <w:spacing w:before="75" w:after="0"/>
      </w:pPr>
      <w:r>
        <w:rPr/>
        <w:t xml:space="preserve">8.5.1 Proteomics 企业概况</w:t>
      </w:r>
    </w:p>
    <w:p>
      <w:pPr>
        <w:spacing w:before="75" w:after="0"/>
      </w:pPr>
      <w:r>
        <w:rPr/>
        <w:t xml:space="preserve">8.5.2 Proteomics 相关产品介绍或参数</w:t>
      </w:r>
    </w:p>
    <w:p>
      <w:pPr>
        <w:spacing w:before="75" w:after="0"/>
      </w:pPr>
      <w:r>
        <w:rPr/>
        <w:t xml:space="preserve">8.5.3 Proteomics 销量、销售额及价格(2021-2026年)</w:t>
      </w:r>
    </w:p>
    <w:p>
      <w:pPr>
        <w:spacing w:before="75" w:after="0"/>
      </w:pPr>
      <w:r>
        <w:rPr/>
        <w:t xml:space="preserve">8.5.4 Proteomics 商业动态</w:t>
      </w:r>
    </w:p>
    <w:p>
      <w:pPr>
        <w:spacing w:before="75" w:after="0"/>
      </w:pPr>
      <w:r>
        <w:rPr/>
        <w:t xml:space="preserve">8.6 Luminex Corporation</w:t>
      </w:r>
    </w:p>
    <w:p>
      <w:pPr>
        <w:spacing w:before="75" w:after="0"/>
      </w:pPr>
      <w:r>
        <w:rPr/>
        <w:t xml:space="preserve">8.6.1 Luminex Corporation 企业概况</w:t>
      </w:r>
    </w:p>
    <w:p>
      <w:pPr>
        <w:spacing w:before="75" w:after="0"/>
      </w:pPr>
      <w:r>
        <w:rPr/>
        <w:t xml:space="preserve">8.6.2 Luminex Corporation 相关产品介绍或参数</w:t>
      </w:r>
    </w:p>
    <w:p>
      <w:pPr>
        <w:spacing w:before="75" w:after="0"/>
      </w:pPr>
      <w:r>
        <w:rPr/>
        <w:t xml:space="preserve">8.6.3 Luminex Corporation 销量、销售额及价格(2021-2026年)</w:t>
      </w:r>
    </w:p>
    <w:p>
      <w:pPr>
        <w:spacing w:before="75" w:after="0"/>
      </w:pPr>
      <w:r>
        <w:rPr/>
        <w:t xml:space="preserve">8.6.4 Luminex Corporation 商业动态</w:t>
      </w:r>
    </w:p>
    <w:p>
      <w:pPr>
        <w:spacing w:before="75" w:after="0"/>
      </w:pPr>
      <w:r>
        <w:rPr/>
        <w:t xml:space="preserve">8.7 Abcam PLC</w:t>
      </w:r>
    </w:p>
    <w:p>
      <w:pPr>
        <w:spacing w:before="75" w:after="0"/>
      </w:pPr>
      <w:r>
        <w:rPr/>
        <w:t xml:space="preserve">8.7.1 Abcam PLC 企业概况</w:t>
      </w:r>
    </w:p>
    <w:p>
      <w:pPr>
        <w:spacing w:before="75" w:after="0"/>
      </w:pPr>
      <w:r>
        <w:rPr/>
        <w:t xml:space="preserve">8.7.2 Abcam PLC 相关产品介绍或参数</w:t>
      </w:r>
    </w:p>
    <w:p>
      <w:pPr>
        <w:spacing w:before="75" w:after="0"/>
      </w:pPr>
      <w:r>
        <w:rPr/>
        <w:t xml:space="preserve">8.7.3 Abcam PLC 销量、销售额及价格(2021-2026年)</w:t>
      </w:r>
    </w:p>
    <w:p>
      <w:pPr>
        <w:spacing w:before="75" w:after="0"/>
      </w:pPr>
      <w:r>
        <w:rPr/>
        <w:t xml:space="preserve">8.7.4 Abcam PLC 商业动态</w:t>
      </w:r>
    </w:p>
    <w:p>
      <w:pPr>
        <w:spacing w:before="75" w:after="0"/>
      </w:pPr>
      <w:r>
        <w:rPr/>
        <w:t xml:space="preserve">8.8 Seegene Inc</w:t>
      </w:r>
    </w:p>
    <w:p>
      <w:pPr>
        <w:spacing w:before="75" w:after="0"/>
      </w:pPr>
      <w:r>
        <w:rPr/>
        <w:t xml:space="preserve">8.8.1 Seegene Inc 企业概况</w:t>
      </w:r>
    </w:p>
    <w:p>
      <w:pPr>
        <w:spacing w:before="75" w:after="0"/>
      </w:pPr>
      <w:r>
        <w:rPr/>
        <w:t xml:space="preserve">8.8.2 Seegene Inc 相关产品介绍或参数</w:t>
      </w:r>
    </w:p>
    <w:p>
      <w:pPr>
        <w:spacing w:before="75" w:after="0"/>
      </w:pPr>
      <w:r>
        <w:rPr/>
        <w:t xml:space="preserve">8.8.3 Seegene Inc 销量、销售额及价格(2021-2026年)</w:t>
      </w:r>
    </w:p>
    <w:p>
      <w:pPr>
        <w:spacing w:before="75" w:after="0"/>
      </w:pPr>
      <w:r>
        <w:rPr/>
        <w:t xml:space="preserve">8.8.4 Seegene Inc 商业动态</w:t>
      </w:r>
    </w:p>
    <w:p>
      <w:pPr>
        <w:spacing w:before="75" w:after="0"/>
      </w:pPr>
      <w:r>
        <w:rPr/>
        <w:t xml:space="preserve">8.9 Bio-Rad Laboratories, Inc</w:t>
      </w:r>
    </w:p>
    <w:p>
      <w:pPr>
        <w:spacing w:before="75" w:after="0"/>
      </w:pPr>
      <w:r>
        <w:rPr/>
        <w:t xml:space="preserve">8.9.1 Bio-Rad Laboratories, Inc 企业概况</w:t>
      </w:r>
    </w:p>
    <w:p>
      <w:pPr>
        <w:spacing w:before="75" w:after="0"/>
      </w:pPr>
      <w:r>
        <w:rPr/>
        <w:t xml:space="preserve">8.9.2 Bio-Rad Laboratories, Inc 相关产品介绍或参数</w:t>
      </w:r>
    </w:p>
    <w:p>
      <w:pPr>
        <w:spacing w:before="75" w:after="0"/>
      </w:pPr>
      <w:r>
        <w:rPr/>
        <w:t xml:space="preserve">8.9.3 Bio-Rad Laboratories, Inc 销量、销售额及价格(2021-2026年)</w:t>
      </w:r>
    </w:p>
    <w:p>
      <w:pPr>
        <w:spacing w:before="75" w:after="0"/>
      </w:pPr>
      <w:r>
        <w:rPr/>
        <w:t xml:space="preserve">8.9.4 Bio-Rad Laboratories, Inc 商业动态</w:t>
      </w:r>
    </w:p>
    <w:p>
      <w:pPr>
        <w:spacing w:before="75" w:after="0"/>
      </w:pPr>
      <w:r>
        <w:rPr/>
        <w:t xml:space="preserve">8.10 Becton, Dickinson and Company</w:t>
      </w:r>
    </w:p>
    <w:p>
      <w:pPr>
        <w:spacing w:before="75" w:after="0"/>
      </w:pPr>
      <w:r>
        <w:rPr/>
        <w:t xml:space="preserve">8.10.1 Becton, Dickinson and Company 企业概况</w:t>
      </w:r>
    </w:p>
    <w:p>
      <w:pPr>
        <w:spacing w:before="75" w:after="0"/>
      </w:pPr>
      <w:r>
        <w:rPr/>
        <w:t xml:space="preserve">8.10.2 Becton, Dickinson and Company 相关产品介绍或参数</w:t>
      </w:r>
    </w:p>
    <w:p>
      <w:pPr>
        <w:spacing w:before="75" w:after="0"/>
      </w:pPr>
      <w:r>
        <w:rPr/>
        <w:t xml:space="preserve">8.10.3 Becton, Dickinson and Company 销量、销售额及价格(2021-2026年)</w:t>
      </w:r>
    </w:p>
    <w:p>
      <w:pPr>
        <w:spacing w:before="75" w:after="0"/>
      </w:pPr>
      <w:r>
        <w:rPr/>
        <w:t xml:space="preserve">8.10.4 Becton, Dickinson and Company 商业动态</w:t>
      </w:r>
    </w:p>
    <w:p>
      <w:pPr>
        <w:spacing w:before="75" w:after="0"/>
      </w:pPr>
      <w:r>
        <w:rPr/>
        <w:t xml:space="preserve">8.11 Illumina, Inc</w:t>
      </w:r>
    </w:p>
    <w:p>
      <w:pPr>
        <w:spacing w:before="75" w:after="0"/>
      </w:pPr>
      <w:r>
        <w:rPr/>
        <w:t xml:space="preserve">8.12 QIAGEN NV</w:t>
      </w:r>
    </w:p>
    <w:p>
      <w:pPr>
        <w:spacing w:before="75" w:after="0"/>
      </w:pPr>
      <w:r>
        <w:rPr/>
        <w:t xml:space="preserve">8.13 Randox Laboratories Ltd</w:t>
      </w:r>
    </w:p>
    <w:p>
      <w:pPr>
        <w:spacing w:before="75" w:after="0"/>
      </w:pPr>
      <w:r>
        <w:rPr/>
        <w:t xml:space="preserve">8.14 Meso Scale Diagnostics, LLC</w:t>
      </w:r>
    </w:p>
    <w:p>
      <w:pPr>
        <w:spacing w:before="75" w:after="0"/>
      </w:pPr>
      <w:r>
        <w:rPr>
          <w:b w:val="1"/>
          <w:bCs w:val="1"/>
        </w:rPr>
        <w:t xml:space="preserve">9 研究成果及结论</w:t>
      </w:r>
    </w:p>
    <w:p>
      <w:pPr>
        <w:spacing w:before="75" w:after="0"/>
      </w:pPr>
      <w:r>
        <w:rPr>
          <w:b w:val="1"/>
          <w:bCs w:val="1"/>
        </w:rPr>
        <w:t xml:space="preserve">图表目录</w:t>
      </w:r>
    </w:p>
    <w:p>
      <w:pPr>
        <w:spacing w:before="75" w:after="0"/>
      </w:pPr>
      <w:r>
        <w:rPr/>
        <w:t xml:space="preserve">图：多反应监测分析产品图片</w:t>
      </w:r>
    </w:p>
    <w:p>
      <w:pPr>
        <w:spacing w:before="75" w:after="0"/>
      </w:pPr>
      <w:r>
        <w:rPr/>
        <w:t xml:space="preserve">表：产品分类及头部企业</w:t>
      </w:r>
    </w:p>
    <w:p>
      <w:pPr>
        <w:spacing w:before="75" w:after="0"/>
      </w:pPr>
      <w:r>
        <w:rPr/>
        <w:t xml:space="preserve">表：多反应监测分析产业链</w:t>
      </w:r>
    </w:p>
    <w:p>
      <w:pPr>
        <w:spacing w:before="75" w:after="0"/>
      </w:pPr>
      <w:r>
        <w:rPr/>
        <w:t xml:space="preserve">表：多反应监测分析厂商产地分布及产品覆盖领域</w:t>
      </w:r>
    </w:p>
    <w:p>
      <w:pPr>
        <w:spacing w:before="75" w:after="0"/>
      </w:pPr>
      <w:r>
        <w:rPr/>
        <w:t xml:space="preserve">表：全球多反应监测分析主要生产商销量排名及市场占比</w:t>
      </w:r>
    </w:p>
    <w:p>
      <w:pPr>
        <w:spacing w:before="75" w:after="0"/>
      </w:pPr>
      <w:r>
        <w:rPr/>
        <w:t xml:space="preserve">表：全球TOP 5 企业产量占比</w:t>
      </w:r>
    </w:p>
    <w:p>
      <w:pPr>
        <w:spacing w:before="75" w:after="0"/>
      </w:pPr>
      <w:r>
        <w:rPr/>
        <w:t xml:space="preserve">图：全球多反应监测分析下游行业分布(2021-2026年)</w:t>
      </w:r>
    </w:p>
    <w:p>
      <w:pPr>
        <w:spacing w:before="75" w:after="0"/>
      </w:pPr>
      <w:r>
        <w:rPr/>
        <w:t xml:space="preserve">表：销量及增长率变化趋势(2021-2026年)</w:t>
      </w:r>
    </w:p>
    <w:p>
      <w:pPr>
        <w:spacing w:before="75" w:after="0"/>
      </w:pPr>
      <w:r>
        <w:rPr/>
        <w:t xml:space="preserve">表：销量及增长率变化趋势(2021-2026年)</w:t>
      </w:r>
    </w:p>
    <w:p>
      <w:pPr>
        <w:spacing w:before="75" w:after="0"/>
      </w:pPr>
      <w:r>
        <w:rPr/>
        <w:t xml:space="preserve">表：销量及增长率变化趋势(2021-2026年)</w:t>
      </w:r>
    </w:p>
    <w:p>
      <w:pPr>
        <w:spacing w:before="75" w:after="0"/>
      </w:pPr>
      <w:r>
        <w:rPr/>
        <w:t xml:space="preserve">图：销量及增长率(2021-2026年)</w:t>
      </w:r>
    </w:p>
    <w:p>
      <w:pPr>
        <w:spacing w:before="75" w:after="0"/>
      </w:pPr>
      <w:r>
        <w:rPr/>
        <w:t xml:space="preserve">图：中国市场多反应监测分析下游行业分布(2021-2026年)</w:t>
      </w:r>
    </w:p>
    <w:p>
      <w:pPr>
        <w:spacing w:before="75" w:after="0"/>
      </w:pPr>
      <w:r>
        <w:rPr/>
        <w:t xml:space="preserve">表：销量及增长率变化趋势(2021-2026年)</w:t>
      </w:r>
    </w:p>
    <w:p>
      <w:pPr>
        <w:spacing w:before="75" w:after="0"/>
      </w:pPr>
      <w:r>
        <w:rPr/>
        <w:t xml:space="preserve">表：销量及增长率变化趋势(2021-2026年)</w:t>
      </w:r>
    </w:p>
    <w:p>
      <w:pPr>
        <w:spacing w:before="75" w:after="0"/>
      </w:pPr>
      <w:r>
        <w:rPr/>
        <w:t xml:space="preserve">表：销量及增长率变化趋势(2021-2026年)</w:t>
      </w:r>
    </w:p>
    <w:p>
      <w:pPr>
        <w:spacing w:before="75" w:after="0"/>
      </w:pPr>
      <w:r>
        <w:rPr/>
        <w:t xml:space="preserve">图：销量及增长率(2021-2026年)</w:t>
      </w:r>
    </w:p>
    <w:p>
      <w:pPr>
        <w:spacing w:before="75" w:after="0"/>
      </w:pPr>
      <w:r>
        <w:rPr/>
        <w:t xml:space="preserve">表：全球多反应监测分析产能、产量、产能利用率(2021-2026年)</w:t>
      </w:r>
    </w:p>
    <w:p>
      <w:pPr>
        <w:spacing w:before="75" w:after="0"/>
      </w:pPr>
      <w:r>
        <w:rPr/>
        <w:t xml:space="preserve">图：全球多反应监测分析产能、产量、产能利用率(2021-2026年)</w:t>
      </w:r>
    </w:p>
    <w:p>
      <w:pPr>
        <w:spacing w:before="75" w:after="0"/>
      </w:pPr>
      <w:r>
        <w:rPr/>
        <w:t xml:space="preserve">图：全球各类型多反应监测分析产量(2021-2026年)</w:t>
      </w:r>
    </w:p>
    <w:p>
      <w:pPr>
        <w:spacing w:before="75" w:after="0"/>
      </w:pPr>
      <w:r>
        <w:rPr/>
        <w:t xml:space="preserve">图：全球各类型多反应监测分析产量占比(2021-2026年)</w:t>
      </w:r>
    </w:p>
    <w:p>
      <w:pPr>
        <w:spacing w:before="75" w:after="0"/>
      </w:pPr>
      <w:r>
        <w:rPr/>
        <w:t xml:space="preserve">表：全球多反应监测分析主要生产商销量(2021-2026年)</w:t>
      </w:r>
    </w:p>
    <w:p>
      <w:pPr>
        <w:spacing w:before="75" w:after="0"/>
      </w:pPr>
      <w:r>
        <w:rPr/>
        <w:t xml:space="preserve">表：全球多反应监测分析主要生产商销量占比(2021-2026年)</w:t>
      </w:r>
    </w:p>
    <w:p>
      <w:pPr>
        <w:spacing w:before="75" w:after="0"/>
      </w:pPr>
      <w:r>
        <w:rPr/>
        <w:t xml:space="preserve">图：全球多反应监测分析主要生产商销量占比(2021-2026年)</w:t>
      </w:r>
    </w:p>
    <w:p>
      <w:pPr>
        <w:spacing w:before="75" w:after="0"/>
      </w:pPr>
      <w:r>
        <w:rPr/>
        <w:t xml:space="preserve">表：全球主要生产商多反应监测分析销售额(2021-2026年)</w:t>
      </w:r>
    </w:p>
    <w:p>
      <w:pPr>
        <w:spacing w:before="75" w:after="0"/>
      </w:pPr>
      <w:r>
        <w:rPr/>
        <w:t xml:space="preserve">表：全球主要生产商多反应监测分析销售额占比(2021-2026年)</w:t>
      </w:r>
    </w:p>
    <w:p>
      <w:pPr>
        <w:spacing w:before="75" w:after="0"/>
      </w:pPr>
      <w:r>
        <w:rPr/>
        <w:t xml:space="preserve">图：全球主要生产商多反应监测分析销售额占比(2021-2026年)</w:t>
      </w:r>
    </w:p>
    <w:p>
      <w:pPr>
        <w:spacing w:before="75" w:after="0"/>
      </w:pPr>
      <w:r>
        <w:rPr/>
        <w:t xml:space="preserve">表：全球主要地区多反应监测分析产量占比(2021-2026年)</w:t>
      </w:r>
    </w:p>
    <w:p>
      <w:pPr>
        <w:spacing w:before="75" w:after="0"/>
      </w:pPr>
      <w:r>
        <w:rPr/>
        <w:t xml:space="preserve">图：全球主要地区多反应监测分析产量占比(2021-2026年)</w:t>
      </w:r>
    </w:p>
    <w:p>
      <w:pPr>
        <w:spacing w:before="75" w:after="0"/>
      </w:pPr>
      <w:r>
        <w:rPr/>
        <w:t xml:space="preserve">表：美国市场多反应监测分析产量及增长率(2021-2026年)</w:t>
      </w:r>
    </w:p>
    <w:p>
      <w:pPr>
        <w:spacing w:before="75" w:after="0"/>
      </w:pPr>
      <w:r>
        <w:rPr/>
        <w:t xml:space="preserve">图：美国多反应监测分析产量及增长率(2021-2026年)</w:t>
      </w:r>
    </w:p>
    <w:p>
      <w:pPr>
        <w:spacing w:before="75" w:after="0"/>
      </w:pPr>
      <w:r>
        <w:rPr/>
        <w:t xml:space="preserve">表：欧洲市场多反应监测分析产量及增长率(2021-2026年)</w:t>
      </w:r>
    </w:p>
    <w:p>
      <w:pPr>
        <w:spacing w:before="75" w:after="0"/>
      </w:pPr>
      <w:r>
        <w:rPr/>
        <w:t xml:space="preserve">图：欧洲多反应监测分析产量及增长率(2021-2026年)</w:t>
      </w:r>
    </w:p>
    <w:p>
      <w:pPr>
        <w:spacing w:before="75" w:after="0"/>
      </w:pPr>
      <w:r>
        <w:rPr/>
        <w:t xml:space="preserve">表：日本市场多反应监测分析产量及增长率(2021-2026年)</w:t>
      </w:r>
    </w:p>
    <w:p>
      <w:pPr>
        <w:spacing w:before="75" w:after="0"/>
      </w:pPr>
      <w:r>
        <w:rPr/>
        <w:t xml:space="preserve">图：日本多反应监测分析产量及增长率(2021-2026年)</w:t>
      </w:r>
    </w:p>
    <w:p>
      <w:pPr>
        <w:spacing w:before="75" w:after="0"/>
      </w:pPr>
      <w:r>
        <w:rPr/>
        <w:t xml:space="preserve">表：东南亚市场多反应监测分析产量及增长率(2021-2026年)</w:t>
      </w:r>
    </w:p>
    <w:p>
      <w:pPr>
        <w:spacing w:before="75" w:after="0"/>
      </w:pPr>
      <w:r>
        <w:rPr/>
        <w:t xml:space="preserve">图：东南亚多反应监测分析产量及增长率(2021-2026年)</w:t>
      </w:r>
    </w:p>
    <w:p>
      <w:pPr>
        <w:spacing w:before="75" w:after="0"/>
      </w:pPr>
      <w:r>
        <w:rPr/>
        <w:t xml:space="preserve">表：印度市场多反应监测分析产量及增长率(2021-2026年)</w:t>
      </w:r>
    </w:p>
    <w:p>
      <w:pPr>
        <w:spacing w:before="75" w:after="0"/>
      </w:pPr>
      <w:r>
        <w:rPr/>
        <w:t xml:space="preserve">图：印度多反应监测分析产量及增长率(2021-2026年)</w:t>
      </w:r>
    </w:p>
    <w:p>
      <w:pPr>
        <w:spacing w:before="75" w:after="0"/>
      </w:pPr>
      <w:r>
        <w:rPr/>
        <w:t xml:space="preserve">表：全球主要地区多反应监测分析销量占比</w:t>
      </w:r>
    </w:p>
    <w:p>
      <w:pPr>
        <w:spacing w:before="75" w:after="0"/>
      </w:pPr>
      <w:r>
        <w:rPr/>
        <w:t xml:space="preserve">图：全球主要地区多反应监测分析销量占比</w:t>
      </w:r>
    </w:p>
    <w:p>
      <w:pPr>
        <w:spacing w:before="75" w:after="0"/>
      </w:pPr>
      <w:r>
        <w:rPr/>
        <w:t xml:space="preserve">表：美国市场多反应监测分析销量及增长率(2021-2026年)</w:t>
      </w:r>
    </w:p>
    <w:p>
      <w:pPr>
        <w:spacing w:before="75" w:after="0"/>
      </w:pPr>
      <w:r>
        <w:rPr/>
        <w:t xml:space="preserve">图：美国多反应监测分析销量及增长率(2021-2026年)</w:t>
      </w:r>
    </w:p>
    <w:p>
      <w:pPr>
        <w:spacing w:before="75" w:after="0"/>
      </w:pPr>
      <w:r>
        <w:rPr/>
        <w:t xml:space="preserve">表：美国市场多反应监测分析销售额及增长率(2021-2026年)</w:t>
      </w:r>
    </w:p>
    <w:p>
      <w:pPr>
        <w:spacing w:before="75" w:after="0"/>
      </w:pPr>
      <w:r>
        <w:rPr/>
        <w:t xml:space="preserve">图：美国多反应监测分析销售额及增长率(2021-2026年)</w:t>
      </w:r>
    </w:p>
    <w:p>
      <w:pPr>
        <w:spacing w:before="75" w:after="0"/>
      </w:pPr>
      <w:r>
        <w:rPr/>
        <w:t xml:space="preserve">表：欧洲市场多反应监测分析销量及增长率(2021-2026年)</w:t>
      </w:r>
    </w:p>
    <w:p>
      <w:pPr>
        <w:spacing w:before="75" w:after="0"/>
      </w:pPr>
      <w:r>
        <w:rPr/>
        <w:t xml:space="preserve">图：欧洲多反应监测分析销量及增长率(2021-2026年)</w:t>
      </w:r>
    </w:p>
    <w:p>
      <w:pPr>
        <w:spacing w:before="75" w:after="0"/>
      </w:pPr>
      <w:r>
        <w:rPr/>
        <w:t xml:space="preserve">表：欧洲市场多反应监测分析销售额及增长率(2021-2026年)</w:t>
      </w:r>
    </w:p>
    <w:p>
      <w:pPr>
        <w:spacing w:before="75" w:after="0"/>
      </w:pPr>
      <w:r>
        <w:rPr/>
        <w:t xml:space="preserve">图：欧洲多反应监测分析销售额及增长率(2021-2026年)</w:t>
      </w:r>
    </w:p>
    <w:p>
      <w:pPr>
        <w:spacing w:before="75" w:after="0"/>
      </w:pPr>
      <w:r>
        <w:rPr/>
        <w:t xml:space="preserve">表：日本市场多反应监测分析销量及增长率(2021-2026年)</w:t>
      </w:r>
    </w:p>
    <w:p>
      <w:pPr>
        <w:spacing w:before="75" w:after="0"/>
      </w:pPr>
      <w:r>
        <w:rPr/>
        <w:t xml:space="preserve">图：日本多反应监测分析销量及增长率(2021-2026年)</w:t>
      </w:r>
    </w:p>
    <w:p>
      <w:pPr>
        <w:spacing w:before="75" w:after="0"/>
      </w:pPr>
      <w:r>
        <w:rPr/>
        <w:t xml:space="preserve">表：日本市场多反应监测分析销售额及增长率(2021-2026年)</w:t>
      </w:r>
    </w:p>
    <w:p>
      <w:pPr>
        <w:spacing w:before="75" w:after="0"/>
      </w:pPr>
      <w:r>
        <w:rPr/>
        <w:t xml:space="preserve">图：日本多反应监测分析销售额及增长率(2021-2026年)</w:t>
      </w:r>
    </w:p>
    <w:p>
      <w:pPr>
        <w:spacing w:before="75" w:after="0"/>
      </w:pPr>
      <w:r>
        <w:rPr/>
        <w:t xml:space="preserve">表：东南亚市场多反应监测分析销量及增长率(2021-2026年)</w:t>
      </w:r>
    </w:p>
    <w:p>
      <w:pPr>
        <w:spacing w:before="75" w:after="0"/>
      </w:pPr>
      <w:r>
        <w:rPr/>
        <w:t xml:space="preserve">图：东南亚多反应监测分析销量及增长率(2021-2026年)</w:t>
      </w:r>
    </w:p>
    <w:p>
      <w:pPr>
        <w:spacing w:before="75" w:after="0"/>
      </w:pPr>
      <w:r>
        <w:rPr/>
        <w:t xml:space="preserve">表：东南亚市场多反应监测分析销售额及增长率(2021-2026年)</w:t>
      </w:r>
    </w:p>
    <w:p>
      <w:pPr>
        <w:spacing w:before="75" w:after="0"/>
      </w:pPr>
      <w:r>
        <w:rPr/>
        <w:t xml:space="preserve">图：东南亚多反应监测分析销售额及增长率(2021-2026年)</w:t>
      </w:r>
    </w:p>
    <w:p>
      <w:pPr>
        <w:spacing w:before="75" w:after="0"/>
      </w:pPr>
      <w:r>
        <w:rPr/>
        <w:t xml:space="preserve">表：印度市场多反应监测分析销量及增长率(2021-2026年)</w:t>
      </w:r>
    </w:p>
    <w:p>
      <w:pPr>
        <w:spacing w:before="75" w:after="0"/>
      </w:pPr>
      <w:r>
        <w:rPr/>
        <w:t xml:space="preserve">图：印度多反应监测分析销量及增长率(2021-2026年)</w:t>
      </w:r>
    </w:p>
    <w:p>
      <w:pPr>
        <w:spacing w:before="75" w:after="0"/>
      </w:pPr>
      <w:r>
        <w:rPr/>
        <w:t xml:space="preserve">表：印度市场多反应监测分析销售额及增长率(2021-2026年)</w:t>
      </w:r>
    </w:p>
    <w:p>
      <w:pPr>
        <w:spacing w:before="75" w:after="0"/>
      </w:pPr>
      <w:r>
        <w:rPr/>
        <w:t xml:space="preserve">图：印度多反应监测分析销售额及增长率(2021-2026年)</w:t>
      </w:r>
    </w:p>
    <w:p>
      <w:pPr>
        <w:spacing w:before="75" w:after="0"/>
      </w:pPr>
      <w:r>
        <w:rPr/>
        <w:t xml:space="preserve">表：全球多反应监测分析产能、产量、产能利用率(2021-2026年)</w:t>
      </w:r>
    </w:p>
    <w:p>
      <w:pPr>
        <w:spacing w:before="75" w:after="0"/>
      </w:pPr>
      <w:r>
        <w:rPr/>
        <w:t xml:space="preserve">图：中国多反应监测分析产能、产量、产能利用率及发展趋势(2021-2026年)</w:t>
      </w:r>
    </w:p>
    <w:p>
      <w:pPr>
        <w:spacing w:before="75" w:after="0"/>
      </w:pPr>
      <w:r>
        <w:rPr/>
        <w:t xml:space="preserve">图：中国各类型多反应监测分析产量(2021-2026年)</w:t>
      </w:r>
    </w:p>
    <w:p>
      <w:pPr>
        <w:spacing w:before="75" w:after="0"/>
      </w:pPr>
      <w:r>
        <w:rPr/>
        <w:t xml:space="preserve">图：中国各类型多反应监测分析产量占比(2021-2026年)</w:t>
      </w:r>
    </w:p>
    <w:p>
      <w:pPr>
        <w:spacing w:before="75" w:after="0"/>
      </w:pPr>
      <w:r>
        <w:rPr/>
        <w:t xml:space="preserve">表：中国市场多反应监测分析主要生产商销量(2021-2026年)</w:t>
      </w:r>
    </w:p>
    <w:p>
      <w:pPr>
        <w:spacing w:before="75" w:after="0"/>
      </w:pPr>
      <w:r>
        <w:rPr/>
        <w:t xml:space="preserve">图：中国市场多反应监测分析主要生产商销量占比 (2021-2026年)</w:t>
      </w:r>
    </w:p>
    <w:p>
      <w:pPr>
        <w:spacing w:before="75" w:after="0"/>
      </w:pPr>
      <w:r>
        <w:rPr/>
        <w:t xml:space="preserve">表：中国市场多反应监测分析主要生产商销量占比(2021-2026年)</w:t>
      </w:r>
    </w:p>
    <w:p>
      <w:pPr>
        <w:spacing w:before="75" w:after="0"/>
      </w:pPr>
      <w:r>
        <w:rPr/>
        <w:t xml:space="preserve">图：中国市场多反应监测分析主要生产商销售额占比 (2021-2026年)</w:t>
      </w:r>
    </w:p>
    <w:p>
      <w:pPr>
        <w:spacing w:before="75" w:after="0"/>
      </w:pPr>
      <w:r>
        <w:rPr/>
        <w:t xml:space="preserve">表：中国主要多反应监测分析生产商产品价格及市场占比(2021-2026年)</w:t>
      </w:r>
    </w:p>
    <w:p>
      <w:pPr>
        <w:spacing w:before="75" w:after="0"/>
      </w:pPr>
      <w:r>
        <w:rPr/>
        <w:t xml:space="preserve">表：中国多反应监测分析销量Top5厂商销量占比 (2021-2026年)</w:t>
      </w:r>
    </w:p>
    <w:p>
      <w:pPr>
        <w:spacing w:before="75" w:after="0"/>
      </w:pPr>
      <w:r>
        <w:rPr/>
        <w:t xml:space="preserve">表：中国多反应监测分析市场进出口量(2021-2026年)</w:t>
      </w:r>
    </w:p>
    <w:p>
      <w:pPr>
        <w:spacing w:before="75" w:after="0"/>
      </w:pPr>
      <w:r>
        <w:rPr/>
        <w:t xml:space="preserve">表：MRM Proteomics MRM Proteomics企业概况</w:t>
      </w:r>
    </w:p>
    <w:p>
      <w:pPr>
        <w:spacing w:before="75" w:after="0"/>
      </w:pPr>
      <w:r>
        <w:rPr/>
        <w:t xml:space="preserve">表：MRM Proteomics MRM Proteomics产品介绍</w:t>
      </w:r>
    </w:p>
    <w:p>
      <w:pPr>
        <w:spacing w:before="75" w:after="0"/>
      </w:pPr>
      <w:r>
        <w:rPr/>
        <w:t xml:space="preserve">表：MRM Proteomics MRM Proteomics销量、销售额及价格(2021-2026年)</w:t>
      </w:r>
    </w:p>
    <w:p>
      <w:pPr>
        <w:spacing w:before="75" w:after="0"/>
      </w:pPr>
      <w:r>
        <w:rPr/>
        <w:t xml:space="preserve">表：Sigma Aldrich Sigma Aldrich企业概况</w:t>
      </w:r>
    </w:p>
    <w:p>
      <w:pPr>
        <w:spacing w:before="75" w:after="0"/>
      </w:pPr>
      <w:r>
        <w:rPr/>
        <w:t xml:space="preserve">表：Sigma Aldrich Sigma Aldrich产品介绍</w:t>
      </w:r>
    </w:p>
    <w:p>
      <w:pPr>
        <w:spacing w:before="75" w:after="0"/>
      </w:pPr>
      <w:r>
        <w:rPr/>
        <w:t xml:space="preserve">表：Sigma Aldrich Sigma Aldrich销量、销售额及价格(2021-2026年)</w:t>
      </w:r>
    </w:p>
    <w:p>
      <w:pPr/>
      <w:br/>
      <w:r>
        <w:rPr>
          <w:rFonts w:ascii="微软雅黑" w:hAnsi="微软雅黑" w:eastAsia="微软雅黑" w:cs="微软雅黑"/>
          <w:color w:val="#ff6600"/>
          <w:sz w:val="28"/>
          <w:szCs w:val="28"/>
          <w:b w:val="1"/>
          <w:bCs w:val="1"/>
        </w:rPr>
        <w:t xml:space="preserve">把握投资 决策经营！</w:t>
      </w:r>
      <w:br/>
      <w:r>
        <w:rPr>
          <w:rFonts w:ascii="微软雅黑" w:hAnsi="微软雅黑" w:eastAsia="微软雅黑" w:cs="微软雅黑"/>
          <w:color w:val="#ff6600"/>
          <w:sz w:val="28"/>
          <w:szCs w:val="28"/>
          <w:b w:val="1"/>
          <w:bCs w:val="1"/>
        </w:rPr>
        <w:t xml:space="preserve">咨询订购 请拨打 400-886-7071 邮件 kf@51baogao.cn</w:t>
      </w:r>
      <w:br/>
      <w:r>
        <w:rPr/>
        <w:t xml:space="preserve">本文地址：https://www.51baogao.cn/baogao/20220808/284754.shtml</w:t>
      </w:r>
      <w:br/>
    </w:p>
    <w:p>
      <w:hyperlink r:id="rId7" w:history="1">
        <w:r>
          <w:rPr>
            <w:color w:val="0000FF"/>
            <w:u w:val="single"/>
          </w:rPr>
          <w:t xml:space="preserve">在线订购&gt;&gt;</w:t>
        </w:r>
      </w:hyperlink>
    </w:p>
    <w:sectPr>
      <w:headerReference w:type="default" r:id="rId8"/>
      <w:footerReference w:type="default" r:id="rId9"/>
      <w:pgSz w:orient="portrait" w:w="11905.511811023622" w:h="16837.79527559055"/>
      <w:pgMar w:top="1440" w:right="1440" w:bottom="1440" w:left="1440" w:header="720" w:footer="720" w:gutter="0"/>
      <w:cols w:num="1" w:space="720"/>
    </w:sectPr>
  </w:body>
</w:document>
</file>

<file path=word/comments.xml><?xml version="1.0" encoding="utf-8"?>
<w:comments xmlns:ve="http://schemas.openxmlformats.org/markup-compatibility/2006" xmlns:o="urn:schemas-microsoft-com:office:office" xmlns:r="http://schemas.openxmlformats.org/officeDocument/2006/relationships" xmlns:m="http://schemas.openxmlformats.org/officeDocument/2006/math" xmlns:v="urn:schemas-microsoft-com:vml" xmlns:wp="http://schemas.openxmlformats.org/drawingml/2006/wordprocessingDrawing" xmlns:w10="urn:schemas-microsoft-com:office:word" xmlns:w="http://schemas.openxmlformats.org/wordprocessingml/2006/main" xmlns:wne="http://schemas.microsoft.com/office/word/2006/wordml"/>
</file>

<file path=word/fontTable.xml><?xml version="1.0" encoding="utf-8"?>
<w:fonts xmlns:r="http://schemas.openxmlformats.org/officeDocument/2006/relationships" xmlns:w="http://schemas.openxmlformats.org/wordprocessingml/2006/main">
  <w:font w:name="Times New Roman">
    <w:panose1 w:val="02020603050405020304"/>
    <w:charset w:val="00"/>
    <w:family w:val="roman"/>
    <w:pitch w:val="variable"/>
    <w:sig w:usb0="E0002AFF" w:usb1="C0007841" w:usb2="00000009" w:usb3="00000000" w:csb0="000001FF" w:csb1="00000000"/>
  </w:font>
  <w:font w:name="Courier New">
    <w:panose1 w:val="02070309020205020404"/>
    <w:charset w:val="00"/>
    <w:family w:val="modern"/>
    <w:pitch w:val="fixed"/>
    <w:sig w:usb0="E0002AFF" w:usb1="C0007843" w:usb2="00000009" w:usb3="00000000" w:csb0="000001FF" w:csb1="00000000"/>
  </w:font>
  <w:font w:name="Wingdings">
    <w:panose1 w:val="05000000000000000000"/>
    <w:charset w:val="02"/>
    <w:family w:val="auto"/>
    <w:pitch w:val="variable"/>
    <w:sig w:usb0="00000000" w:usb1="10000000" w:usb2="00000000" w:usb3="00000000" w:csb0="80000000" w:csb1="00000000"/>
  </w:font>
  <w:font w:name="Symbol">
    <w:panose1 w:val="05050102010706020507"/>
    <w:charset w:val="02"/>
    <w:family w:val="roman"/>
    <w:pitch w:val="variable"/>
    <w:sig w:usb0="00000000" w:usb1="10000000" w:usb2="00000000" w:usb3="00000000" w:csb0="80000000" w:csb1="00000000"/>
  </w:font>
  <w:font w:name="Arial">
    <w:panose1 w:val="020B0604020202020204"/>
    <w:charset w:val="00"/>
    <w:family w:val="swiss"/>
    <w:pitch w:val="variable"/>
    <w:sig w:usb0="E0002AFF" w:usb1="C0007843" w:usb2="00000009" w:usb3="00000000" w:csb0="000001FF" w:csb1="00000000"/>
  </w:font>
  <w:font w:name="Cambria">
    <w:panose1 w:val="02040503050406030204"/>
    <w:charset w:val="00"/>
    <w:family w:val="roman"/>
    <w:pitch w:val="variable"/>
    <w:sig w:usb0="A00002EF" w:usb1="4000004B" w:usb2="00000000" w:usb3="00000000" w:csb0="0000019F" w:csb1="00000000"/>
  </w:font>
  <w:font w:name="Calibri">
    <w:panose1 w:val="020F0502020204030204"/>
    <w:charset w:val="00"/>
    <w:family w:val="swiss"/>
    <w:pitch w:val="variable"/>
    <w:sig w:usb0="E10002FF" w:usb1="4000ACFF" w:usb2="00000009" w:usb3="00000000" w:csb0="0000019F" w:csb1="00000000"/>
  </w:font>
  <w:font w:name="Garamond">
    <w:panose1 w:val="02020404030301010803"/>
    <w:charset w:val="00"/>
    <w:family w:val="roman"/>
    <w:pitch w:val="variable"/>
    <w:sig w:usb0="00000287" w:usb1="00000002" w:usb2="00000000" w:usb3="00000000" w:csb0="0000009F" w:csb1="00000000"/>
  </w:font>
</w:fonts>
</file>

<file path=word/footer1.xml><?xml version="1.0" encoding="utf-8"?>
<w:ftr xmlns:ve="http://schemas.openxmlformats.org/markup-compatibility/2006" xmlns:o="urn:schemas-microsoft-com:office:office" xmlns:r="http://schemas.openxmlformats.org/officeDocument/2006/relationships" xmlns:m="http://schemas.openxmlformats.org/officeDocument/2006/math" xmlns:v="urn:schemas-microsoft-com:vml" xmlns:wp="http://schemas.openxmlformats.org/drawingml/2006/wordprocessingDrawing" xmlns:w10="urn:schemas-microsoft-com:office:word" xmlns:w="http://schemas.openxmlformats.org/wordprocessingml/2006/main" xmlns:wne="http://schemas.microsoft.com/office/word/2006/wordml">
  <w:p>
    <w:pPr>
      <w:jc w:val="center"/>
    </w:pPr>
    <w:r>
      <w:rPr>
        <w:rFonts w:ascii="微软雅黑" w:hAnsi="微软雅黑" w:eastAsia="微软雅黑" w:cs="微软雅黑"/>
        <w:color w:val="#000000"/>
        <w:sz w:val="20"/>
        <w:szCs w:val="20"/>
        <w:b w:val="0"/>
        <w:bCs w:val="0"/>
      </w:rPr>
      <w:t xml:space="preserve">全国统一售前专线：400-886-7071 公司官网：www.51baogao.cn</w:t>
    </w:r>
  </w:p>
  <w:p>
    <w:pPr>
      <w:jc w:val="center"/>
    </w:pPr>
    <w:r>
      <w:fldChar w:fldCharType="begin"/>
    </w:r>
    <w:r>
      <w:rPr>
        <w:rFonts w:ascii="Calibri" w:hAnsi="Calibri" w:eastAsia="Calibri" w:cs="Calibri"/>
        <w:color w:val="#000000"/>
        <w:sz w:val="20"/>
        <w:szCs w:val="20"/>
        <w:b w:val="1"/>
        <w:bCs w:val="1"/>
      </w:rPr>
      <w:instrText xml:space="preserve">PAGE</w:instrText>
    </w:r>
    <w:r>
      <w:fldChar w:fldCharType="separate"/>
    </w:r>
    <w:r>
      <w:fldChar w:fldCharType="end"/>
    </w:r>
    <w:r>
      <w:rPr>
        <w:rFonts w:ascii="Calibri" w:hAnsi="Calibri" w:eastAsia="Calibri" w:cs="Calibri"/>
        <w:color w:val="#000000"/>
        <w:sz w:val="20"/>
        <w:szCs w:val="20"/>
        <w:b w:val="1"/>
        <w:bCs w:val="1"/>
      </w:rPr>
      <w:t xml:space="preserve">/</w:t>
    </w:r>
    <w:r>
      <w:fldChar w:fldCharType="begin"/>
    </w:r>
    <w:r>
      <w:rPr>
        <w:rFonts w:ascii="Calibri" w:hAnsi="Calibri" w:eastAsia="Calibri" w:cs="Calibri"/>
        <w:color w:val="#000000"/>
        <w:sz w:val="20"/>
        <w:szCs w:val="20"/>
        <w:b w:val="1"/>
        <w:bCs w:val="1"/>
      </w:rPr>
      <w:instrText xml:space="preserve">NUMPAGES</w:instrText>
    </w:r>
    <w:r>
      <w:fldChar w:fldCharType="separate"/>
    </w:r>
    <w:r>
      <w:fldChar w:fldCharType="end"/>
    </w:r>
  </w:p>
</w:ftr>
</file>

<file path=word/header1.xml><?xml version="1.0" encoding="utf-8"?>
<w:hdr xmlns:ve="http://schemas.openxmlformats.org/markup-compatibility/2006" xmlns:o="urn:schemas-microsoft-com:office:office" xmlns:r="http://schemas.openxmlformats.org/officeDocument/2006/relationships" xmlns:m="http://schemas.openxmlformats.org/officeDocument/2006/math" xmlns:v="urn:schemas-microsoft-com:vml" xmlns:wp="http://schemas.openxmlformats.org/drawingml/2006/wordprocessingDrawing" xmlns:w10="urn:schemas-microsoft-com:office:word" xmlns:w="http://schemas.openxmlformats.org/wordprocessingml/2006/main" xmlns:wne="http://schemas.microsoft.com/office/word/2006/wordml">
  <w:p>
    <w:pPr>
      <w:jc w:val="center"/>
    </w:pPr>
    <w:r>
      <w:rPr/>
      <w:t xml:space="preserve">北京中道泰和信息咨询有限公司</w:t>
    </w:r>
  </w:p>
</w:hdr>
</file>

<file path=word/numbering.xml><?xml version="1.0" encoding="utf-8"?>
<w:numbering xmlns:ve="http://schemas.openxmlformats.org/markup-compatibility/2006" xmlns:o="urn:schemas-microsoft-com:office:office" xmlns:r="http://schemas.openxmlformats.org/officeDocument/2006/relationships" xmlns:m="http://schemas.openxmlformats.org/officeDocument/2006/math" xmlns:v="urn:schemas-microsoft-com:vml" xmlns:wp="http://schemas.openxmlformats.org/drawingml/2006/wordprocessingDrawing" xmlns:w10="urn:schemas-microsoft-com:office:word" xmlns:w="http://schemas.openxmlformats.org/wordprocessingml/2006/main" xmlns:wne="http://schemas.microsoft.com/office/word/2006/wordml"/>
</file>

<file path=word/settings.xml><?xml version="1.0" encoding="utf-8"?>
<w:settings xmlns:r="http://schemas.openxmlformats.org/officeDocument/2006/relationships" xmlns:w="http://schemas.openxmlformats.org/wordprocessingml/2006/main" xmlns:m="http://schemas.openxmlformats.org/officeDocument/2006/math" xmlns:sl="http://schemas.openxmlformats.org/schemaLibrary/2006/main" xmlns:o="urn:schemas-microsoft-com:office:office" xmlns:v="urn:schemas-microsoft-com:vml" xmlns:w10="urn:schemas-microsoft-com:office:word">
  <w:defaultTabStop w:val="708"/>
  <w:hyphenationZone w:val="425"/>
  <w:characterSpacingControl w:val="doNotCompress"/>
  <w:decimalSymbol w:val="."/>
  <w:listSeparator w:val=";"/>
  <w:compat>
    <w:compatSetting w:name="compatibilityMode" w:uri="http://schemas.microsoft.com/office/word" w:val="12"/>
  </w:compat>
  <m:mathPr>
    <m:mathFont m:val="Cambria Math"/>
    <m:brkBin m:val="before"/>
    <m:brkBinSub m:val="--"/>
    <m:smallFrac m:val="off"/>
    <m:dispDef/>
    <m:lMargin m:val="0"/>
    <m:rMargin m:val="0"/>
    <m:defJc m:val="centerGroup"/>
    <m:wrapIndent m:val="1440"/>
    <m:intLim m:val="subSup"/>
    <m:naryLim m:val="undOvr"/>
  </m:mathPr>
  <w:clrSchemeMapping w:bg1="light1" w:t1="dark1" w:bg2="light2" w:t2="dark2" w:accent1="accent1" w:accent2="accent2" w:accent3="accent3" w:accent4="accent4" w:accent5="accent5" w:accent6="accent6" w:hyperlink="hyperlink" w:followedHyperlink="followedHyperlink"/>
  <w:hideSpellingErrors w:val="false"/>
  <w:hideGrammaticalErrors w:val="false"/>
  <w:trackRevisions w:val="false"/>
  <w:doNotTrackMoves w:val="false"/>
  <w:doNotTrackFormatting w:val="false"/>
  <w:evenAndOddHeaders w:val="false"/>
  <w:updateFields w:val="false"/>
  <w:themeFontLang w:val="en-US"/>
  <w:zoom w:percent="100"/>
</w:settings>
</file>

<file path=word/styles.xml><?xml version="1.0" encoding="utf-8"?>
<w:styles xmlns:r="http://schemas.openxmlformats.org/officeDocument/2006/relationships" xmlns:w="http://schemas.openxmlformats.org/wordprocessingml/2006/main">
  <w:docDefaults>
    <w:rPrDefault>
      <w:rPr>
        <w:rFonts w:ascii="微软雅黑" w:hAnsi="微软雅黑" w:eastAsia="微软雅黑" w:cs="微软雅黑"/>
        <w:sz w:val="24"/>
        <w:szCs w:val="24"/>
        <w:lang w:val="en-US"/>
      </w:rPr>
    </w:rPrDefault>
  </w:docDefaults>
  <w:style w:type="paragraph" w:default="1" w:styleId="Normal">
    <w:name w:val="Normal"/>
  </w:style>
  <w:style w:type="character" w:styleId="FootnoteReference">
    <w:name w:val="Footnote Reference"/>
    <w:semiHidden/>
    <w:unhideWhenUsed/>
    <w:rPr>
      <w:vertAlign w:val="superscript"/>
    </w:rPr>
  </w:style>
</w:styles>
</file>

<file path=word/webSettings.xml><?xml version="1.0" encoding="utf-8"?>
<w:webSettings xmlns:r="http://schemas.openxmlformats.org/officeDocument/2006/relationships" xmlns:w="http://schemas.openxmlformats.org/wordprocessingml/2006/main">
  <w:optimizeForBrowser/>
</w:webSettings>
</file>

<file path=word/_rels/document.xml.rels><?xml version="1.0" encoding="UTF-8" standalone="yes"?>
<Relationships xmlns="http://schemas.openxmlformats.org/package/2006/relationships"><Relationship Id="rId1" Type="http://schemas.openxmlformats.org/officeDocument/2006/relationships/styles" Target="styles.xml"/><Relationship Id="rId2" Type="http://schemas.openxmlformats.org/officeDocument/2006/relationships/numbering" Target="numbering.xml"/><Relationship Id="rId3" Type="http://schemas.openxmlformats.org/officeDocument/2006/relationships/settings" Target="settings.xml"/><Relationship Id="rId4" Type="http://schemas.openxmlformats.org/officeDocument/2006/relationships/theme" Target="theme/theme1.xml"/><Relationship Id="rId5" Type="http://schemas.openxmlformats.org/officeDocument/2006/relationships/webSettings" Target="webSettings.xml"/><Relationship Id="rId6" Type="http://schemas.openxmlformats.org/officeDocument/2006/relationships/fontTable" Target="fontTable.xml"/><Relationship Id="rId7" Type="http://schemas.openxmlformats.org/officeDocument/2006/relationships/hyperlink" Target="https://www.51baogao.cn/baogao/20220808/284754.shtml" TargetMode="External"/><Relationship Id="rId8" Type="http://schemas.openxmlformats.org/officeDocument/2006/relationships/header" Target="header1.xml"/><Relationship Id="rId9" Type="http://schemas.openxmlformats.org/officeDocument/2006/relationships/footer" Target="footer1.xml"/></Relationships>
</file>

<file path=word/theme/theme1.xml><?xml version="1.0" encoding="utf-8"?>
<a:theme xmlns:a="http://schemas.openxmlformats.org/drawingml/2006/main" name="Office Theme">
  <a:themeElements>
    <a:clrScheme name="Office">
      <a:dk1>
        <a:sysClr val="windowText" lastClr="000000"/>
      </a:dk1>
      <a:lt1>
        <a:sysClr val="window" lastClr="FFFFFF"/>
      </a:lt1>
      <a:dk2>
        <a:srgbClr val="1F497D"/>
      </a:dk2>
      <a:lt2>
        <a:srgbClr val="EEECE1"/>
      </a:lt2>
      <a:accent1>
        <a:srgbClr val="4F81BD"/>
      </a:accent1>
      <a:accent2>
        <a:srgbClr val="C0504D"/>
      </a:accent2>
      <a:accent3>
        <a:srgbClr val="9BBB59"/>
      </a:accent3>
      <a:accent4>
        <a:srgbClr val="8064A2"/>
      </a:accent4>
      <a:accent5>
        <a:srgbClr val="4BACC6"/>
      </a:accent5>
      <a:accent6>
        <a:srgbClr val="F79646"/>
      </a:accent6>
      <a:hlink>
        <a:srgbClr val="0000FF"/>
      </a:hlink>
      <a:folHlink>
        <a:srgbClr val="800080"/>
      </a:folHlink>
    </a:clrScheme>
    <a:fontScheme name="Office">
      <a:majorFont>
        <a:latin typeface="Cambria"/>
        <a:ea typeface=""/>
        <a:cs typeface=""/>
        <a:font script="Jpan" typeface="ＭＳ ゴシック"/>
        <a:font script="Hang" typeface="맑은 고딕"/>
        <a:font script="Hans" typeface="宋体"/>
        <a:font script="Hant" typeface="新細明體"/>
        <a:font script="Arab" typeface="Times New Roman"/>
        <a:font script="Hebr" typeface="Times New Roman"/>
        <a:font script="Thai" typeface="Angsana New"/>
        <a:font script="Ethi" typeface="Nyala"/>
        <a:font script="Beng" typeface="Vrinda"/>
        <a:font script="Gujr" typeface="Shruti"/>
        <a:font script="Khmr" typeface="MoolBoran"/>
        <a:font script="Knda" typeface="Tunga"/>
        <a:font script="Guru" typeface="Raavi"/>
        <a:font script="Cans" typeface="Euphemia"/>
        <a:font script="Cher" typeface="Plantagenet Cherokee"/>
        <a:font script="Yiii" typeface="Microsoft Yi Baiti"/>
        <a:font script="Tibt" typeface="Microsoft Himalaya"/>
        <a:font script="Thaa" typeface="MV Boli"/>
        <a:font script="Deva" typeface="Mangal"/>
        <a:font script="Telu" typeface="Gautami"/>
        <a:font script="Taml" typeface="Latha"/>
        <a:font script="Syrc" typeface="Estrangelo Edessa"/>
        <a:font script="Orya" typeface="Kalinga"/>
        <a:font script="Mlym" typeface="Kartika"/>
        <a:font script="Laoo" typeface="DokChampa"/>
        <a:font script="Sinh" typeface="Iskoola Pota"/>
        <a:font script="Mong" typeface="Mongolian Baiti"/>
        <a:font script="Viet" typeface="Times New Roman"/>
        <a:font script="Uigh" typeface="Microsoft Uighur"/>
      </a:majorFont>
      <a:minorFont>
        <a:latin typeface="Calibri"/>
        <a:ea typeface=""/>
        <a:cs typeface=""/>
        <a:font script="Jpan" typeface="ＭＳ 明朝"/>
        <a:font script="Hang" typeface="맑은 고딕"/>
        <a:font script="Hans" typeface="宋体"/>
        <a:font script="Hant" typeface="新細明體"/>
        <a:font script="Arab" typeface="Arial"/>
        <a:font script="Hebr" typeface="Arial"/>
        <a:font script="Thai" typeface="Cordia New"/>
        <a:font script="Ethi" typeface="Nyala"/>
        <a:font script="Beng" typeface="Vrinda"/>
        <a:font script="Gujr" typeface="Shruti"/>
        <a:font script="Khmr" typeface="DaunPenh"/>
        <a:font script="Knda" typeface="Tunga"/>
        <a:font script="Guru" typeface="Raavi"/>
        <a:font script="Cans" typeface="Euphemia"/>
        <a:font script="Cher" typeface="Plantagenet Cherokee"/>
        <a:font script="Yiii" typeface="Microsoft Yi Baiti"/>
        <a:font script="Tibt" typeface="Microsoft Himalaya"/>
        <a:font script="Thaa" typeface="MV Boli"/>
        <a:font script="Deva" typeface="Mangal"/>
        <a:font script="Telu" typeface="Gautami"/>
        <a:font script="Taml" typeface="Latha"/>
        <a:font script="Syrc" typeface="Estrangelo Edessa"/>
        <a:font script="Orya" typeface="Kalinga"/>
        <a:font script="Mlym" typeface="Kartika"/>
        <a:font script="Laoo" typeface="DokChampa"/>
        <a:font script="Sinh" typeface="Iskoola Pota"/>
        <a:font script="Mong" typeface="Mongolian Baiti"/>
        <a:font script="Viet" typeface="Arial"/>
        <a:font script="Uigh" typeface="Microsoft Uighur"/>
      </a:minorFont>
    </a:fontScheme>
    <a:fmtScheme name="Office">
      <a:fillStyleLst>
        <a:solidFill>
          <a:schemeClr val="phClr"/>
        </a:solidFill>
        <a:gradFill rotWithShape="1">
          <a:gsLst>
            <a:gs pos="0">
              <a:schemeClr val="phClr">
                <a:tint val="50000"/>
                <a:satMod val="300000"/>
              </a:schemeClr>
            </a:gs>
            <a:gs pos="35000">
              <a:schemeClr val="phClr">
                <a:tint val="37000"/>
                <a:satMod val="300000"/>
              </a:schemeClr>
            </a:gs>
            <a:gs pos="100000">
              <a:schemeClr val="phClr">
                <a:tint val="15000"/>
                <a:satMod val="350000"/>
              </a:schemeClr>
            </a:gs>
          </a:gsLst>
          <a:lin ang="16200000" scaled="1"/>
        </a:gradFill>
        <a:gradFill rotWithShape="1">
          <a:gsLst>
            <a:gs pos="0">
              <a:schemeClr val="phClr">
                <a:shade val="51000"/>
                <a:satMod val="130000"/>
              </a:schemeClr>
            </a:gs>
            <a:gs pos="80000">
              <a:schemeClr val="phClr">
                <a:shade val="93000"/>
                <a:satMod val="130000"/>
              </a:schemeClr>
            </a:gs>
            <a:gs pos="100000">
              <a:schemeClr val="phClr">
                <a:shade val="94000"/>
                <a:satMod val="135000"/>
              </a:schemeClr>
            </a:gs>
          </a:gsLst>
          <a:lin ang="16200000" scaled="0"/>
        </a:gradFill>
      </a:fillStyleLst>
      <a:lnStyleLst>
        <a:ln w="9525" cap="flat" cmpd="sng" algn="ctr">
          <a:solidFill>
            <a:schemeClr val="phClr">
              <a:shade val="95000"/>
              <a:satMod val="105000"/>
            </a:schemeClr>
          </a:solidFill>
          <a:prstDash val="solid"/>
        </a:ln>
        <a:ln w="25400" cap="flat" cmpd="sng" algn="ctr">
          <a:solidFill>
            <a:schemeClr val="phClr"/>
          </a:solidFill>
          <a:prstDash val="solid"/>
        </a:ln>
        <a:ln w="38100" cap="flat" cmpd="sng" algn="ctr">
          <a:solidFill>
            <a:schemeClr val="phClr"/>
          </a:solidFill>
          <a:prstDash val="solid"/>
        </a:ln>
      </a:lnStyleLst>
      <a:effectStyleLst>
        <a:effectStyle>
          <a:effectLst>
            <a:outerShdw blurRad="40000" dist="20000" dir="5400000" rotWithShape="0">
              <a:srgbClr val="000000">
                <a:alpha val="38000"/>
              </a:srgbClr>
            </a:outerShdw>
          </a:effectLst>
        </a:effectStyle>
        <a:effectStyle>
          <a:effectLst>
            <a:outerShdw blurRad="40000" dist="23000" dir="5400000" rotWithShape="0">
              <a:srgbClr val="000000">
                <a:alpha val="35000"/>
              </a:srgbClr>
            </a:outerShdw>
          </a:effectLst>
        </a:effectStyle>
        <a:effectStyle>
          <a:effectLst>
            <a:outerShdw blurRad="40000" dist="23000" dir="5400000" rotWithShape="0">
              <a:srgbClr val="000000">
                <a:alpha val="35000"/>
              </a:srgbClr>
            </a:outerShdw>
          </a:effectLst>
          <a:scene3d>
            <a:camera prst="orthographicFront">
              <a:rot lat="0" lon="0" rev="0"/>
            </a:camera>
            <a:lightRig rig="threePt" dir="t">
              <a:rot lat="0" lon="0" rev="1200000"/>
            </a:lightRig>
          </a:scene3d>
          <a:sp3d>
            <a:bevelT w="63500" h="25400"/>
          </a:sp3d>
        </a:effectStyle>
      </a:effectStyleLst>
      <a:bgFillStyleLst>
        <a:solidFill>
          <a:schemeClr val="phClr"/>
        </a:solidFill>
        <a:gradFill rotWithShape="1">
          <a:gsLst>
            <a:gs pos="0">
              <a:schemeClr val="phClr">
                <a:tint val="40000"/>
                <a:satMod val="350000"/>
              </a:schemeClr>
            </a:gs>
            <a:gs pos="40000">
              <a:schemeClr val="phClr">
                <a:tint val="45000"/>
                <a:shade val="99000"/>
                <a:satMod val="350000"/>
              </a:schemeClr>
            </a:gs>
            <a:gs pos="100000">
              <a:schemeClr val="phClr">
                <a:shade val="20000"/>
                <a:satMod val="255000"/>
              </a:schemeClr>
            </a:gs>
          </a:gsLst>
          <a:path path="circle">
            <a:fillToRect l="50000" t="-80000" r="50000" b="180000"/>
          </a:path>
        </a:gradFill>
        <a:gradFill rotWithShape="1">
          <a:gsLst>
            <a:gs pos="0">
              <a:schemeClr val="phClr">
                <a:tint val="80000"/>
                <a:satMod val="300000"/>
              </a:schemeClr>
            </a:gs>
            <a:gs pos="100000">
              <a:schemeClr val="phClr">
                <a:shade val="30000"/>
                <a:satMod val="200000"/>
              </a:schemeClr>
            </a:gs>
          </a:gsLst>
          <a:path path="circle">
            <a:fillToRect l="50000" t="50000" r="50000" b="50000"/>
          </a:path>
        </a:gradFill>
      </a:bgFillStyleLst>
    </a:fmtScheme>
  </a:themeElements>
  <a:objectDefaults/>
  <a:extraClrSchemeLst/>
</a:theme>
</file>

<file path=docProps/app.xml><?xml version="1.0" encoding="utf-8"?>
<Properties xmlns="http://schemas.openxmlformats.org/officeDocument/2006/extended-properties" xmlns:vt="http://schemas.openxmlformats.org/officeDocument/2006/docPropsVTypes">
  <Application>PHPWord</Application>
  <Company>北京中道泰和信息咨询有限公司</Company>
  <Manager/>
</Properties>
</file>

<file path=docProps/core.xml><?xml version="1.0" encoding="utf-8"?>
<cp:coreProperties xmlns:cp="http://schemas.openxmlformats.org/package/2006/metadata/core-properties" xmlns:dc="http://purl.org/dc/elements/1.1/" xmlns:dcterms="http://purl.org/dc/terms/" xmlns:dcmitype="http://purl.org/dc/dcmitype/" xmlns:xsi="http://www.w3.org/2001/XMLSchema-instance">
  <dc:creator>北京中道泰和信息咨询有限公司</dc:creator>
  <dc:title>全球及中国多反应监测分析行业深度研究报告(2026-2031版)</dc:title>
  <dc:description>全球及中国多反应监测分析行业深度研究报告(2026-2031版)</dc:description>
  <dc:subject>全球及中国多反应监测分析行业深度研究报告(2026-2031版)</dc:subject>
  <cp:keywords>研究报告</cp:keywords>
  <cp:category>研究报告</cp:category>
  <cp:lastModifiedBy>北京中道泰和信息咨询有限公司</cp:lastModifiedBy>
  <dcterms:created xsi:type="dcterms:W3CDTF">2026-04-03T21:44:21+08:00</dcterms:created>
  <dcterms:modified xsi:type="dcterms:W3CDTF">2026-04-03T21:44:21+08:00</dcterms:modified>
</cp:coreProperties>
</file>

<file path=docProps/custom.xml><?xml version="1.0" encoding="utf-8"?>
<Properties xmlns="http://schemas.openxmlformats.org/officeDocument/2006/custom-properties" xmlns:vt="http://schemas.openxmlformats.org/officeDocument/2006/docPropsVTypes"/>
</file>