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随着中国医疗器械产业的发展，全国已形成了几个医疗器械产业集聚区和制造业发展带，粤港澳大湾区、长三角地区及京津环渤海湾3大区域成为国内的医疗器械产业集聚区。据不完全统计，3大区域医疗器械的总产值和总销售额占全国总量的80%以上。因为各区域所具有的条件不同，这3大产业集聚区呈现出不同的地域特点。</w:t>
      </w:r>
    </w:p>
    <w:p>
      <w:pPr>
        <w:spacing w:after="150"/>
      </w:pPr>
      <w:r>
        <w:rPr/>
        <w:t xml:space="preserve">从我国医疗器械市场的产品结构看，影像诊断设备占据最大的市场份额;其次是体外诊断，占据14%的市场份额;低值耗材占据13%的市场份额;剩余的市场份额被心血管、骨科及其他类器械所占据。从细分领域的市场占比来看，市场份额占比较高的细分领域基本是创新性较强、研发投入高、行业壁垒也相对较高的高端医疗器械领域，例如体外诊断中的分子诊断、即时检验(POCT)的子领域产品，心血管领域的支架、起搏器等植介入器械，影像领域的大型影像设备以及骨科和眼科等领域的植入式高值耗材等。</w:t>
      </w:r>
    </w:p>
    <w:p>
      <w:pPr>
        <w:spacing w:after="150"/>
      </w:pPr>
      <w:r>
        <w:rPr/>
        <w:t xml:space="preserve">市场容量</w:t>
      </w:r>
    </w:p>
    <w:p>
      <w:pPr>
        <w:spacing w:after="150"/>
      </w:pPr>
      <w:r>
        <w:rPr/>
        <w:t xml:space="preserve">2020年全球医疗器械行业市场规模为4774亿美元，同比增长5.63%，预计到2024年全球医疗器械行业规模将达接近6000亿美元，2017-2024年复合增长率为5.6%，行业有望保持稳定增长。我国医疗器械和药品人均消费额的比例仅为0.35:1，远低于0.7:1的全球平均水平，更低于欧美发达国家0.98:1的水平。因为消费群体庞大、健康需求不断增加以及政府的积极支持，我国医疗器械市场发展空间极为广阔。2021年末，全国医疗卫生机构总数1030935个，比2020年增加8013个，全年全国卫生总费用支出逾75500亿元。2021年，全国医疗卫生机构总诊疗人次84.7亿，比2020年增加7.3亿人次(增长9.4%)。2021年居民平均到医疗卫生机构就诊6.0次。各类医疗卫生机构数量的增长推动了对医疗器械的需求，极大地促进医疗器械行业的发展速度。</w:t>
      </w:r>
    </w:p>
    <w:p>
      <w:pPr>
        <w:spacing w:after="150"/>
      </w:pPr>
      <w:r>
        <w:rPr/>
        <w:t xml:space="preserve">2021年中国共发布医疗器械标准181项，标准发布数量较2020年增长21%。近3年来，医疗器械标准发布数量稳步提升。其中，国家标准发布数量增长显著。近年来，我国医疗器械行业生产企业数量不断增长，2019-2021年，在医疗器械市场需求飞速增长的助推下，我国医疗器械生产企业实现了从1.6万家到2.5万家的飞跃。数据显示，自2013年以来，我国医疗器械行业市场规模不断扩大，预计到2025年将达18414亿元。</w:t>
      </w:r>
    </w:p>
    <w:p>
      <w:pPr>
        <w:spacing w:after="150"/>
      </w:pPr>
      <w:r>
        <w:rPr/>
        <w:t xml:space="preserve">2021年，我国医疗器械进出口贸易额达1440.87亿美元，同比下降16.87%，其中出口额为994.09亿美元，同比下降24.73%。受新冠疫情防控常态化影响，口罩、医用防护服等防疫物资需求有所回落，贸易额下降明显。国产医疗器械出口仍以低端产品为主，中高端产品逐步渗透。2021年，我国医疗器械进口额为446.78亿美元，同比增长8.31%。进口来源地仍以美国、德国、日本为主，进口产品以高值耗材和大型医疗设备为主，部分高端医疗器械产品、核心零部件、关键原材料进口依赖度仍然较高。</w:t>
      </w:r>
    </w:p>
    <w:p>
      <w:pPr>
        <w:spacing w:after="150"/>
      </w:pPr>
      <w:r>
        <w:rPr/>
        <w:t xml:space="preserve">市场集中度</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2020年中国经济从疫情的动荡中恢复，医疗健康领域在疫情带来的非常态经济周期下，整体投融资增长态势显著。同时，新《条例》首次将“保证医疗器械的安全、有效，保障人体健康和生命安全”与“促进医疗器械产业发展”放在并列位置，凸显推动医疗器械产业创新发展的重要性。未来五年(2024-2029)年均复合增长率约为14.41%，并预测在2025年中国医疗器械市场规模将突破万亿元，达到了14010亿元。</w:t>
      </w:r>
    </w:p>
    <w:p>
      <w:pPr>
        <w:spacing w:after="150"/>
      </w:pPr>
      <w:r>
        <w:rPr/>
        <w:t xml:space="preserve">行业发展趋势</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 pest ）</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一、医疗器械企业数量及结构</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 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八、北京京精医疗设备有限公司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十一、青岛海尔生物医疗股份有限公司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十三、爱博诺德(北京)医疗科技股份有限公司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十六、奥美医疗用品股份有限公司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十七、江西三鑫医疗科技股份有限公司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十八、江苏爱朋医疗科技股份有限公司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十九、广州维力医疗器械股份有限公司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二十二、北京佰仁医疗科技股份有限公司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二十三、西安康拓医疗技术股份有限公司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二十五、瑞声达听力技术(中国)有限公司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二十七、创生医疗器械(中国)有限公司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二十九、上海澳华内镜股份有限公司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三十、杭州启明医疗器械股份有限公司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b w:val="1"/>
          <w:bCs w:val="1"/>
        </w:rPr>
        <w:t xml:space="preserve">第五部分 发展前景展望</w:t>
      </w:r>
    </w:p>
    <w:p>
      <w:pPr>
        <w:spacing w:after="150"/>
      </w:pPr>
      <w:r>
        <w:rPr/>
        <w:t xml:space="preserve">【未来医疗器械行业发展前景怎样?后疫情时代行业有些什么样的变化趋势?行业投资特性如何?行业投资机会有那些?疫情之下行业有哪些风险需要防范?】</w:t>
      </w:r>
    </w:p>
    <w:p>
      <w:pPr>
        <w:spacing w:after="150"/>
      </w:pPr>
      <w:r>
        <w:rPr>
          <w:b w:val="1"/>
          <w:bCs w:val="1"/>
        </w:rPr>
        <w:t xml:space="preserve">第十一章 2024-2029 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一、疫情之后医疗器械并购交易战略研究</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图表：医疗诊断、监护及治疗设备工业总产值</w:t>
      </w:r>
    </w:p>
    <w:p>
      <w:pPr>
        <w:spacing w:after="150"/>
      </w:pPr>
      <w:r>
        <w:rPr/>
        <w:t xml:space="preserve">图表：医疗诊断、监护及治疗设备工业销售产值</w:t>
      </w:r>
    </w:p>
    <w:p>
      <w:pPr>
        <w:spacing w:after="150"/>
      </w:pPr>
      <w:r>
        <w:rPr/>
        <w:t xml:space="preserve">图表：医疗诊断、监护及治疗设备行业利润总额</w:t>
      </w:r>
    </w:p>
    <w:p>
      <w:pPr>
        <w:spacing w:after="150"/>
      </w:pPr>
      <w:r>
        <w:rPr/>
        <w:t xml:space="preserve">图表：医疗诊断、监护及治疗设备主营业务收入</w:t>
      </w:r>
    </w:p>
    <w:p>
      <w:pPr>
        <w:spacing w:after="150"/>
      </w:pPr>
      <w:r>
        <w:rPr/>
        <w:t xml:space="preserve">图表：医疗诊断、监护及治疗设备主营业务成本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中国医疗器械行业市场深度调研及前景趋势与投资研究报告(2024-2029版)</dc:title>
  <dc:description>中国医疗器械行业市场深度调研及前景趋势与投资研究报告(2024-2029版)</dc:description>
  <dc:subject>中国医疗器械行业市场深度调研及前景趋势与投资研究报告(2024-2029版)</dc:subject>
  <cp:keywords>研究报告</cp:keywords>
  <cp:category>研究报告</cp:category>
  <cp:lastModifiedBy>北京中道泰和信息咨询有限公司</cp:lastModifiedBy>
  <dcterms:created xsi:type="dcterms:W3CDTF">2024-01-28T20:35:27+08:00</dcterms:created>
  <dcterms:modified xsi:type="dcterms:W3CDTF">2024-01-28T20:35:27+08:00</dcterms:modified>
</cp:coreProperties>
</file>

<file path=docProps/custom.xml><?xml version="1.0" encoding="utf-8"?>
<Properties xmlns="http://schemas.openxmlformats.org/officeDocument/2006/custom-properties" xmlns:vt="http://schemas.openxmlformats.org/officeDocument/2006/docPropsVTypes"/>
</file>