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中国线下零售行业市场发展分析及市场调研与发展趋势研究报告(2024-2029版)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3、居民消费价格(cpi)</w:t>
      </w:r>
    </w:p>
    <w:p>
      <w:pPr>
        <w:spacing w:after="150"/>
      </w:pPr>
      <w:r>
        <w:rPr/>
        <w:t xml:space="preserve">4、城乡居民可支配收入</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b w:val="1"/>
          <w:bCs w:val="1"/>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图表：2015-2022年全球零售市场规模及预测(单位：万亿美元，%)</w:t>
      </w:r>
    </w:p>
    <w:p>
      <w:pPr>
        <w:spacing w:after="150"/>
      </w:pPr>
      <w:r>
        <w:rPr/>
        <w:t xml:space="preserve">图表：2019-2023年全球线下零售市场规模及预测(单位：万亿美元)</w:t>
      </w:r>
    </w:p>
    <w:p>
      <w:pPr>
        <w:spacing w:after="150"/>
      </w:pPr>
      <w:r>
        <w:rPr/>
        <w:t xml:space="preserve">图表：2022年全球零售企业排行1</w:t>
      </w:r>
    </w:p>
    <w:p>
      <w:pPr>
        <w:spacing w:after="150"/>
      </w:pPr>
      <w:r>
        <w:rPr/>
        <w:t xml:space="preserve">图表：2022年全球零售企业排行2</w:t>
      </w:r>
    </w:p>
    <w:p>
      <w:pPr>
        <w:spacing w:after="150"/>
      </w:pPr>
      <w:r>
        <w:rPr/>
        <w:t xml:space="preserve">图表：2022年全球零售企业排行3</w:t>
      </w:r>
    </w:p>
    <w:p>
      <w:pPr>
        <w:spacing w:after="150"/>
      </w:pPr>
      <w:r>
        <w:rPr/>
        <w:t xml:space="preserve">图表：2022年全球零售企业排行4</w:t>
      </w:r>
    </w:p>
    <w:p>
      <w:pPr>
        <w:spacing w:after="150"/>
      </w:pPr>
      <w:r>
        <w:rPr/>
        <w:t xml:space="preserve">图表：2022年全球零售企业排行5</w:t>
      </w:r>
    </w:p>
    <w:p>
      <w:pPr>
        <w:spacing w:after="150"/>
      </w:pPr>
      <w:r>
        <w:rPr/>
        <w:t xml:space="preserve">图表：2022年全球零售企业排行6</w:t>
      </w:r>
    </w:p>
    <w:p>
      <w:pPr>
        <w:spacing w:after="150"/>
      </w:pPr>
      <w:r>
        <w:rPr/>
        <w:t xml:space="preserve">图表：2022年全球零售企业排行7</w:t>
      </w:r>
    </w:p>
    <w:p>
      <w:pPr>
        <w:spacing w:after="150"/>
      </w:pPr>
      <w:r>
        <w:rPr/>
        <w:t xml:space="preserve">图表：2022年全球零售企业排行8</w:t>
      </w:r>
    </w:p>
    <w:p>
      <w:pPr>
        <w:spacing w:after="150"/>
      </w:pPr>
      <w:r>
        <w:rPr/>
        <w:t xml:space="preserve">图表：2022年全球零售企业排行9</w:t>
      </w:r>
    </w:p>
    <w:p>
      <w:pPr>
        <w:spacing w:after="150"/>
      </w:pPr>
      <w:r>
        <w:rPr/>
        <w:t xml:space="preserve">图表：欧洲消费者信心指数</w:t>
      </w:r>
    </w:p>
    <w:p>
      <w:pPr>
        <w:spacing w:after="150"/>
      </w:pPr>
      <w:r>
        <w:rPr/>
        <w:t xml:space="preserve">图表：2022年欧洲消费者信心指数</w:t>
      </w:r>
    </w:p>
    <w:p>
      <w:pPr>
        <w:spacing w:after="150"/>
      </w:pPr>
      <w:r>
        <w:rPr/>
        <w:t xml:space="preserve">图表：carrefour</w:t>
      </w:r>
    </w:p>
    <w:p>
      <w:pPr>
        <w:spacing w:after="150"/>
      </w:pPr>
      <w:r>
        <w:rPr/>
        <w:t xml:space="preserve">图表：schwarzgruppe</w:t>
      </w:r>
    </w:p>
    <w:p>
      <w:pPr>
        <w:spacing w:after="150"/>
      </w:pPr>
      <w:r>
        <w:rPr/>
        <w:t xml:space="preserve">图表：walgreensbootsalliance</w:t>
      </w:r>
    </w:p>
    <w:p>
      <w:pPr>
        <w:spacing w:after="150"/>
      </w:pPr>
      <w:r>
        <w:rPr/>
        <w:t xml:space="preserve">图表：aldi</w:t>
      </w:r>
    </w:p>
    <w:p>
      <w:pPr>
        <w:spacing w:after="150"/>
      </w:pPr>
      <w:r>
        <w:rPr/>
        <w:t xml:space="preserve">图表：美国消费者信心指数</w:t>
      </w:r>
    </w:p>
    <w:p>
      <w:pPr>
        <w:spacing w:after="150"/>
      </w:pPr>
      <w:r>
        <w:rPr/>
        <w:t xml:space="preserve">图表：2022年美国零售企业排行</w:t>
      </w:r>
    </w:p>
    <w:p>
      <w:pPr>
        <w:spacing w:after="150"/>
      </w:pPr>
      <w:r>
        <w:rPr/>
        <w:t xml:space="preserve">图表：日本消费者信心指数</w:t>
      </w:r>
    </w:p>
    <w:p>
      <w:pPr>
        <w:spacing w:after="150"/>
      </w:pPr>
      <w:r>
        <w:rPr/>
        <w:t xml:space="preserve">图表：2022年日本消费者信心指数具体情况</w:t>
      </w:r>
    </w:p>
    <w:p>
      <w:pPr>
        <w:spacing w:after="150"/>
      </w:pPr>
      <w:r>
        <w:rPr/>
        <w:t xml:space="preserve">图表：沃尔玛全球布局</w:t>
      </w:r>
    </w:p>
    <w:p>
      <w:pPr>
        <w:spacing w:after="150"/>
      </w:pPr>
      <w:r>
        <w:rPr/>
        <w:t xml:space="preserve">图表：2019-2023年中国社会消费品零售总额统计及增长情况(单位：亿元，%)</w:t>
      </w:r>
    </w:p>
    <w:p>
      <w:pPr>
        <w:spacing w:after="150"/>
      </w:pPr>
      <w:r>
        <w:rPr/>
        <w:t xml:space="preserve">图表：2019-2023年我国线下零售市场规模(单位：亿元，%)</w:t>
      </w:r>
    </w:p>
    <w:p>
      <w:pPr>
        <w:spacing w:after="150"/>
      </w:pPr>
      <w:r>
        <w:rPr/>
        <w:t xml:space="preserve">图表：2022年中国社会消费品零售总额机构占比</w:t>
      </w:r>
    </w:p>
    <w:p>
      <w:pPr>
        <w:spacing w:after="150"/>
      </w:pPr>
      <w:r>
        <w:rPr/>
        <w:t xml:space="preserve">图表：2022年零售百亿级上市企业情况</w:t>
      </w:r>
    </w:p>
    <w:p>
      <w:pPr>
        <w:spacing w:after="150"/>
      </w:pPr>
      <w:r>
        <w:rPr/>
        <w:t xml:space="preserve">图表：2022年度中国零售百强名单1</w:t>
      </w:r>
    </w:p>
    <w:p>
      <w:pPr>
        <w:spacing w:after="150"/>
      </w:pPr>
      <w:r>
        <w:rPr/>
        <w:t xml:space="preserve">图表：零售行业最新相关政策</w:t>
      </w:r>
    </w:p>
    <w:p>
      <w:pPr>
        <w:spacing w:after="150"/>
      </w:pPr>
      <w:r>
        <w:rPr/>
        <w:t xml:space="preserve">图表：2022年社会消费品零售总额分月同比增长速度</w:t>
      </w:r>
    </w:p>
    <w:p>
      <w:pPr>
        <w:spacing w:after="150"/>
      </w:pPr>
      <w:r>
        <w:rPr/>
        <w:t xml:space="preserve">图表：2022年社会消费品零售总额具体数据</w:t>
      </w:r>
    </w:p>
    <w:p>
      <w:pPr>
        <w:spacing w:after="150"/>
      </w:pPr>
      <w:r>
        <w:rPr/>
        <w:t xml:space="preserve">图表：2022年前3季度gdp初步核算数据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图表：我国居民信心消费指数</w:t>
      </w:r>
    </w:p>
    <w:p>
      <w:pPr>
        <w:spacing w:after="150"/>
      </w:pPr>
      <w:r>
        <w:rPr/>
        <w:t xml:space="preserve">图表：2022年我国消费者信心指数具体情况</w:t>
      </w:r>
    </w:p>
    <w:p>
      <w:pPr>
        <w:spacing w:after="150"/>
      </w:pPr>
      <w:r>
        <w:rPr/>
        <w:t xml:space="preserve">图表：2019-2023年300城商办用地推出及成交规划建筑面积</w:t>
      </w:r>
    </w:p>
    <w:p>
      <w:pPr>
        <w:spacing w:after="150"/>
      </w:pPr>
      <w:r>
        <w:rPr/>
        <w:t xml:space="preserve">图表：2022年中国电商市场主要细分结构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图表：百货业态重点企业销售额当月同比变化情况</w:t>
      </w:r>
    </w:p>
    <w:p>
      <w:pPr>
        <w:spacing w:after="150"/>
      </w:pPr>
      <w:r>
        <w:rPr/>
        <w:t xml:space="preserve">图表：中国百货商店网点数量和销售规模情况</w:t>
      </w:r>
    </w:p>
    <w:p>
      <w:pPr>
        <w:spacing w:after="150"/>
      </w:pPr>
      <w:r>
        <w:rPr/>
        <w:t xml:space="preserve">图表：中国百货行业集中度与国际市场对比情况</w:t>
      </w:r>
    </w:p>
    <w:p>
      <w:pPr>
        <w:spacing w:after="150"/>
      </w:pPr>
      <w:r>
        <w:rPr/>
        <w:t xml:space="preserve">图表：2022年中国头部超市企业市占率均低于5%</w:t>
      </w:r>
    </w:p>
    <w:p>
      <w:pPr>
        <w:spacing w:after="150"/>
      </w:pPr>
      <w:r>
        <w:rPr/>
        <w:t xml:space="preserve">图表：2022年中国商超市场cr3为8.4%，远低于美国44.5%</w:t>
      </w:r>
    </w:p>
    <w:p>
      <w:pPr>
        <w:spacing w:after="150"/>
      </w:pPr>
      <w:r>
        <w:rPr/>
        <w:t xml:space="preserve">图表：2022年中国超市行业规模3.2万亿元，同比增长3.2%</w:t>
      </w:r>
    </w:p>
    <w:p>
      <w:pPr>
        <w:spacing w:after="150"/>
      </w:pPr>
      <w:r>
        <w:rPr/>
        <w:t xml:space="preserve">图表：2019-2023年中国超市前十强含税销售额(亿元)</w:t>
      </w:r>
    </w:p>
    <w:p>
      <w:pPr>
        <w:spacing w:after="150"/>
      </w:pPr>
      <w:r>
        <w:rPr/>
        <w:t xml:space="preserve">图表：2019-2023年中国超市前十强门店数量(家)</w:t>
      </w:r>
    </w:p>
    <w:p>
      <w:pPr>
        <w:spacing w:after="150"/>
      </w:pPr>
      <w:r>
        <w:rPr/>
        <w:t xml:space="preserve">图表：2019-2023年中国超市前十强门店数量增速</w:t>
      </w:r>
    </w:p>
    <w:p>
      <w:pPr>
        <w:spacing w:after="150"/>
      </w:pPr>
      <w:r>
        <w:rPr/>
        <w:t xml:space="preserve">图表：家乐福和沃尔玛经营模式</w:t>
      </w:r>
    </w:p>
    <w:p>
      <w:pPr>
        <w:spacing w:after="150"/>
      </w:pPr>
      <w:r>
        <w:rPr/>
        <w:t xml:space="preserve">图表：2022年中国超市服务发展趋势</w:t>
      </w:r>
    </w:p>
    <w:p>
      <w:pPr>
        <w:spacing w:after="150"/>
      </w:pPr>
      <w:r>
        <w:rPr/>
        <w:t xml:space="preserve">图表：2022年中国超市管理发展趋势</w:t>
      </w:r>
    </w:p>
    <w:p>
      <w:pPr>
        <w:spacing w:after="150"/>
      </w:pPr>
      <w:r>
        <w:rPr/>
        <w:t xml:space="preserve">图表：连锁专卖品牌门店情况统计</w:t>
      </w:r>
    </w:p>
    <w:p>
      <w:pPr>
        <w:spacing w:after="150"/>
      </w:pPr>
      <w:r>
        <w:rPr/>
        <w:t xml:space="preserve">图表：2019-2023年11大主流不动产企业持有项目数份额</w:t>
      </w:r>
    </w:p>
    <w:p>
      <w:pPr>
        <w:spacing w:after="150"/>
      </w:pPr>
      <w:r>
        <w:rPr/>
        <w:t xml:space="preserve">图表：国内外购物中心对比</w:t>
      </w:r>
    </w:p>
    <w:p>
      <w:pPr>
        <w:spacing w:after="150"/>
      </w:pPr>
      <w:r>
        <w:rPr/>
        <w:t xml:space="preserve">图表：2022年限额以上单位吃类商品零售额增长情况</w:t>
      </w:r>
    </w:p>
    <w:p>
      <w:pPr>
        <w:spacing w:after="150"/>
      </w:pPr>
      <w:r>
        <w:rPr/>
        <w:t xml:space="preserve">图表：必选消费代表食品类零售依然强势，线下消费修复仍需时间</w:t>
      </w:r>
    </w:p>
    <w:p>
      <w:pPr>
        <w:spacing w:after="150"/>
      </w:pPr>
      <w:r>
        <w:rPr/>
        <w:t xml:space="preserve">图表：2019-2023年1-2022年1全国居民消费价格涨幅</w:t>
      </w:r>
    </w:p>
    <w:p>
      <w:pPr>
        <w:spacing w:after="150"/>
      </w:pPr>
      <w:r>
        <w:rPr/>
        <w:t xml:space="preserve">图表：2013-2022年限额以上服装商品零售额增速(%)</w:t>
      </w:r>
    </w:p>
    <w:p>
      <w:pPr>
        <w:spacing w:after="150"/>
      </w:pPr>
      <w:r>
        <w:rPr/>
        <w:t xml:space="preserve">图表：2019-2023年我国服装行业市场规模及增速(亿元，%)</w:t>
      </w:r>
    </w:p>
    <w:p>
      <w:pPr>
        <w:spacing w:after="150"/>
      </w:pPr>
      <w:r>
        <w:rPr/>
        <w:t xml:space="preserve">图表：2013-2022年全国重点大型零售企业服装零售额增速</w:t>
      </w:r>
    </w:p>
    <w:p>
      <w:pPr>
        <w:spacing w:after="150"/>
      </w:pPr>
      <w:r>
        <w:rPr/>
        <w:t xml:space="preserve">图表：2019-2023年实物商品网上零售增长情况</w:t>
      </w:r>
    </w:p>
    <w:p>
      <w:pPr>
        <w:spacing w:after="150"/>
      </w:pPr>
      <w:r>
        <w:rPr/>
        <w:t xml:space="preserve">图表：限额以上日用品品类零售情况</w:t>
      </w:r>
    </w:p>
    <w:p>
      <w:pPr>
        <w:spacing w:after="150"/>
      </w:pPr>
      <w:r>
        <w:rPr/>
        <w:t xml:space="preserve">图表：日用品类零售近期与社零同比走势反向</w:t>
      </w:r>
    </w:p>
    <w:p>
      <w:pPr>
        <w:spacing w:after="150"/>
      </w:pPr>
      <w:r>
        <w:rPr/>
        <w:t xml:space="preserve">图表：限额以上可选消费品零售总额同比增速对比</w:t>
      </w:r>
    </w:p>
    <w:p>
      <w:pPr>
        <w:spacing w:after="150"/>
      </w:pPr>
      <w:r>
        <w:rPr/>
        <w:t xml:space="preserve">图表：2014-2022年中国化妆品市场分品类规模情况及预测(十亿元)</w:t>
      </w:r>
    </w:p>
    <w:p>
      <w:pPr>
        <w:spacing w:after="150"/>
      </w:pPr>
      <w:r>
        <w:rPr/>
        <w:t xml:space="preserve">图表：2014-2022年中国化妆品市场分品类规模增速情况及预测</w:t>
      </w:r>
    </w:p>
    <w:p>
      <w:pPr>
        <w:spacing w:after="150"/>
      </w:pPr>
      <w:r>
        <w:rPr/>
        <w:t xml:space="preserve">图表：2019-2023年中国空调产量走势预测</w:t>
      </w:r>
    </w:p>
    <w:p>
      <w:pPr>
        <w:spacing w:after="150"/>
      </w:pPr>
      <w:r>
        <w:rPr/>
        <w:t xml:space="preserve">图表：2019-2023年中国空调销量走势预测</w:t>
      </w:r>
    </w:p>
    <w:p>
      <w:pPr>
        <w:spacing w:after="150"/>
      </w:pPr>
      <w:r>
        <w:rPr/>
        <w:t xml:space="preserve">图表：2013-2022年家用电冰箱产量及同比增速走势</w:t>
      </w:r>
    </w:p>
    <w:p>
      <w:pPr>
        <w:spacing w:after="150"/>
      </w:pPr>
      <w:r>
        <w:rPr/>
        <w:t xml:space="preserve">图表：2019-2023年中国主要家电品类中智能家居销售份额变化及预测</w:t>
      </w:r>
    </w:p>
    <w:p>
      <w:pPr>
        <w:spacing w:after="150"/>
      </w:pPr>
      <w:r>
        <w:rPr/>
        <w:t xml:space="preserve">图表：2019-2023年，我国药店连锁率及行业集中度情况</w:t>
      </w:r>
    </w:p>
    <w:p>
      <w:pPr>
        <w:spacing w:after="150"/>
      </w:pPr>
      <w:r>
        <w:rPr/>
        <w:t xml:space="preserve">图表：2019-2023年，我国实体药店、网上药店发展情况</w:t>
      </w:r>
    </w:p>
    <w:p>
      <w:pPr>
        <w:spacing w:after="150"/>
      </w:pPr>
      <w:r>
        <w:rPr/>
        <w:t xml:space="preserve">图表：2022年我国连锁药店市场竞争格局</w:t>
      </w:r>
    </w:p>
    <w:p>
      <w:pPr>
        <w:spacing w:after="150"/>
      </w:pPr>
      <w:r>
        <w:rPr/>
        <w:t xml:space="preserve">图表：零售药店药品-日均销售订单指数(包括化学药、中成药、生物制药)</w:t>
      </w:r>
    </w:p>
    <w:p>
      <w:pPr>
        <w:spacing w:after="150"/>
      </w:pPr>
      <w:r>
        <w:rPr/>
        <w:t xml:space="preserve">图表：2011-2022年三大药物终端数量</w:t>
      </w:r>
    </w:p>
    <w:p>
      <w:pPr>
        <w:spacing w:after="150"/>
      </w:pPr>
      <w:r>
        <w:rPr/>
        <w:t xml:space="preserve">图表：黄金珠宝消费结构</w:t>
      </w:r>
    </w:p>
    <w:p>
      <w:pPr>
        <w:spacing w:after="150"/>
      </w:pPr>
      <w:r>
        <w:rPr/>
        <w:t xml:space="preserve">图表：环渤海经济带</w:t>
      </w:r>
    </w:p>
    <w:p>
      <w:pPr>
        <w:spacing w:after="150"/>
      </w:pPr>
      <w:r>
        <w:rPr/>
        <w:t xml:space="preserve">图表：2022年北方gdp十强城市基础数据</w:t>
      </w:r>
    </w:p>
    <w:p>
      <w:pPr>
        <w:spacing w:after="150"/>
      </w:pPr>
      <w:r>
        <w:rPr/>
        <w:t xml:space="preserve">图表：2022年份北京市零售情况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图表：2022年上海购物中心特点</w:t>
      </w:r>
    </w:p>
    <w:p>
      <w:pPr>
        <w:spacing w:after="150"/>
      </w:pPr>
      <w:r>
        <w:rPr/>
        <w:t xml:space="preserve">图表：2022年上海部分新开家购物中心概况</w:t>
      </w:r>
    </w:p>
    <w:p>
      <w:pPr>
        <w:spacing w:after="150"/>
      </w:pPr>
      <w:r>
        <w:rPr/>
        <w:t xml:space="preserve">图表：2022年上海购物中心发展趋势</w:t>
      </w:r>
    </w:p>
    <w:p>
      <w:pPr>
        <w:spacing w:after="150"/>
      </w:pPr>
      <w:r>
        <w:rPr/>
        <w:t xml:space="preserve">图表：珠三角经济带</w:t>
      </w:r>
    </w:p>
    <w:p>
      <w:pPr>
        <w:spacing w:after="150"/>
      </w:pPr>
      <w:r>
        <w:rPr/>
        <w:t xml:space="preserve">图表：2022年广州市限额以上主要商品零售额情况</w:t>
      </w:r>
    </w:p>
    <w:p>
      <w:pPr>
        <w:spacing w:after="150"/>
      </w:pPr>
      <w:r>
        <w:rPr/>
        <w:t xml:space="preserve">图表：2019-2023年社会消费品零售总额增长速度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图表：麦德龙自有品牌</w:t>
      </w:r>
    </w:p>
    <w:p>
      <w:pPr>
        <w:spacing w:after="150"/>
      </w:pPr>
      <w:r>
        <w:rPr/>
        <w:t xml:space="preserve">图表：2022年新世界经营情况</w:t>
      </w:r>
    </w:p>
    <w:p>
      <w:pPr>
        <w:spacing w:after="150"/>
      </w:pPr>
      <w:r>
        <w:rPr/>
        <w:t xml:space="preserve">图表：2022年王府井经营情况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中国线下零售行业市场发展分析及市场调研与发展趋势研究报告(2024-2029版)</dc:title>
  <dc:description>中国线下零售行业市场发展分析及市场调研与发展趋势研究报告(2024-2029版)</dc:description>
  <dc:subject>中国线下零售行业市场发展分析及市场调研与发展趋势研究报告(2024-2029版)</dc:subject>
  <cp:keywords>研究报告</cp:keywords>
  <cp:category>研究报告</cp:category>
  <cp:lastModifiedBy>北京中道泰和信息咨询有限公司</cp:lastModifiedBy>
  <dcterms:created xsi:type="dcterms:W3CDTF">2024-01-28T17:14:20+08:00</dcterms:created>
  <dcterms:modified xsi:type="dcterms:W3CDTF">2024-01-28T17:14:20+08:00</dcterms:modified>
</cp:coreProperties>
</file>

<file path=docProps/custom.xml><?xml version="1.0" encoding="utf-8"?>
<Properties xmlns="http://schemas.openxmlformats.org/officeDocument/2006/custom-properties" xmlns:vt="http://schemas.openxmlformats.org/officeDocument/2006/docPropsVTypes"/>
</file>