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中国算力行业市场发展现状及竞争格局与投资前景研究报告(2024-2029版)</w:t>
      </w:r>
    </w:p>
    <w:p>
      <w:pPr>
        <w:spacing w:after="150"/>
      </w:pPr>
      <w:r>
        <w:rPr>
          <w:b w:val="1"/>
          <w:bCs w:val="1"/>
        </w:rPr>
        <w:t xml:space="preserve">报告简介</w:t>
      </w:r>
    </w:p>
    <w:p>
      <w:pPr>
        <w:spacing w:after="150"/>
      </w:pPr>
      <w:r>
        <w:rPr/>
        <w:t xml:space="preserve">算力(也称哈希率)是比特币网络处理能力的度量单位。即为计算机(CPU)计算哈希函数输出的速度。比特币网络必须为了安全目的而进行密集的数学和加密相关操作。在通过“挖矿”得到比特币的过程中，我们需要找到其相应的解m，而对于任何一个六十四位的哈希值，要找到其解m，都没有固定算法，只能靠计算机随机的hash碰撞，而一个挖矿机每秒钟能做多少次hash碰撞，就是其“算力”的代表，单位写成hash/s,这就是所谓工作量证明机制POW(Proof Of Work)。</w:t>
      </w:r>
    </w:p>
    <w:p>
      <w:pPr>
        <w:spacing w:after="150"/>
      </w:pPr>
      <w:r>
        <w:rPr/>
        <w:t xml:space="preserve">算力行业研究报告主要分析了算力行业的市场规模、算力市场供需求状况、算力市场竞争状况和算力主要企业经营情况，同时对算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算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算力专业研究单位等公布和提供的大量资料。对我国算力行业作了详尽深入的分析，为算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算力产业概述</w:t>
      </w:r>
    </w:p>
    <w:p>
      <w:pPr>
        <w:spacing w:after="150"/>
      </w:pPr>
      <w:r>
        <w:rPr/>
        <w:t xml:space="preserve">第一节 算力概念</w:t>
      </w:r>
    </w:p>
    <w:p>
      <w:pPr>
        <w:spacing w:after="150"/>
      </w:pPr>
      <w:r>
        <w:rPr/>
        <w:t xml:space="preserve">第二节 算力分类及应用</w:t>
      </w:r>
    </w:p>
    <w:p>
      <w:pPr>
        <w:spacing w:after="150"/>
      </w:pPr>
      <w:r>
        <w:rPr/>
        <w:t xml:space="preserve">第三节 算力产业链结构</w:t>
      </w:r>
    </w:p>
    <w:p>
      <w:pPr>
        <w:spacing w:after="150"/>
      </w:pPr>
      <w:r>
        <w:rPr>
          <w:b w:val="1"/>
          <w:bCs w:val="1"/>
        </w:rPr>
        <w:t xml:space="preserve">第二章 算力行业国内外市场分析</w:t>
      </w:r>
    </w:p>
    <w:p>
      <w:pPr>
        <w:spacing w:after="150"/>
      </w:pPr>
      <w:r>
        <w:rPr/>
        <w:t xml:space="preserve">第一节 算力行业国际市场分析</w:t>
      </w:r>
    </w:p>
    <w:p>
      <w:pPr>
        <w:spacing w:after="150"/>
      </w:pPr>
      <w:r>
        <w:rPr/>
        <w:t xml:space="preserve">一、算力国际市场发展历程回顾</w:t>
      </w:r>
    </w:p>
    <w:p>
      <w:pPr>
        <w:spacing w:after="150"/>
      </w:pPr>
      <w:r>
        <w:rPr/>
        <w:t xml:space="preserve">二、世界算力产业市场规模</w:t>
      </w:r>
    </w:p>
    <w:p>
      <w:pPr>
        <w:spacing w:after="150"/>
      </w:pPr>
      <w:r>
        <w:rPr/>
        <w:t xml:space="preserve">三、算力竞争格局分析</w:t>
      </w:r>
    </w:p>
    <w:p>
      <w:pPr>
        <w:spacing w:after="150"/>
      </w:pPr>
      <w:r>
        <w:rPr/>
        <w:t xml:space="preserve">四、算力国际主要国家发展情况分析</w:t>
      </w:r>
    </w:p>
    <w:p>
      <w:pPr>
        <w:spacing w:after="150"/>
      </w:pPr>
      <w:r>
        <w:rPr/>
        <w:t xml:space="preserve">五、算力国际市场发展趋势</w:t>
      </w:r>
    </w:p>
    <w:p>
      <w:pPr>
        <w:spacing w:after="150"/>
      </w:pPr>
      <w:r>
        <w:rPr/>
        <w:t xml:space="preserve">第二节 算力行业国内市场分析</w:t>
      </w:r>
    </w:p>
    <w:p>
      <w:pPr>
        <w:spacing w:after="150"/>
      </w:pPr>
      <w:r>
        <w:rPr/>
        <w:t xml:space="preserve">一、算力国内市场发展历程</w:t>
      </w:r>
    </w:p>
    <w:p>
      <w:pPr>
        <w:spacing w:after="150"/>
      </w:pPr>
      <w:r>
        <w:rPr/>
        <w:t xml:space="preserve">二、算力技术动态</w:t>
      </w:r>
    </w:p>
    <w:p>
      <w:pPr>
        <w:spacing w:after="150"/>
      </w:pPr>
      <w:r>
        <w:rPr/>
        <w:t xml:space="preserve">三、算力竞争格局分析</w:t>
      </w:r>
    </w:p>
    <w:p>
      <w:pPr>
        <w:spacing w:after="150"/>
      </w:pPr>
      <w:r>
        <w:rPr/>
        <w:t xml:space="preserve">四、算力国内主要地区发展情况分析</w:t>
      </w:r>
    </w:p>
    <w:p>
      <w:pPr>
        <w:spacing w:after="150"/>
      </w:pPr>
      <w:r>
        <w:rPr/>
        <w:t xml:space="preserve">五、算力国内市场发展趋势</w:t>
      </w:r>
    </w:p>
    <w:p>
      <w:pPr>
        <w:spacing w:after="150"/>
      </w:pPr>
      <w:r>
        <w:rPr/>
        <w:t xml:space="preserve">第三节 算力行业国内外市场对比分析</w:t>
      </w:r>
    </w:p>
    <w:p>
      <w:pPr>
        <w:spacing w:after="150"/>
      </w:pPr>
      <w:r>
        <w:rPr>
          <w:b w:val="1"/>
          <w:bCs w:val="1"/>
        </w:rPr>
        <w:t xml:space="preserve">第三章 算力行业发展环境分析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算力行业发展政策及规划</w:t>
      </w:r>
    </w:p>
    <w:p>
      <w:pPr>
        <w:spacing w:after="150"/>
      </w:pPr>
      <w:r>
        <w:rPr/>
        <w:t xml:space="preserve">第一节 产业的宏观调控政策分析</w:t>
      </w:r>
    </w:p>
    <w:p>
      <w:pPr>
        <w:spacing w:after="150"/>
      </w:pPr>
      <w:r>
        <w:rPr/>
        <w:t xml:space="preserve">第二节 算力政策动态研究</w:t>
      </w:r>
    </w:p>
    <w:p>
      <w:pPr>
        <w:spacing w:after="150"/>
      </w:pPr>
      <w:r>
        <w:rPr/>
        <w:t xml:space="preserve">第三节 算力产业政策发展趋势</w:t>
      </w:r>
    </w:p>
    <w:p>
      <w:pPr>
        <w:spacing w:after="150"/>
      </w:pPr>
      <w:r>
        <w:rPr>
          <w:b w:val="1"/>
          <w:bCs w:val="1"/>
        </w:rPr>
        <w:t xml:space="preserve">第五章 2019-2023年算力产供销需市场现状和预测分析</w:t>
      </w:r>
    </w:p>
    <w:p>
      <w:pPr>
        <w:spacing w:after="150"/>
      </w:pPr>
      <w:r>
        <w:rPr/>
        <w:t xml:space="preserve">第一节 2019-2023年算力市场规模</w:t>
      </w:r>
    </w:p>
    <w:p>
      <w:pPr>
        <w:spacing w:after="150"/>
      </w:pPr>
      <w:r>
        <w:rPr/>
        <w:t xml:space="preserve">第二节 2019-2023年算力需求综述</w:t>
      </w:r>
    </w:p>
    <w:p>
      <w:pPr>
        <w:spacing w:after="150"/>
      </w:pPr>
      <w:r>
        <w:rPr/>
        <w:t xml:space="preserve">第三节 2019-2023年算力供需平衡分析</w:t>
      </w:r>
    </w:p>
    <w:p>
      <w:pPr>
        <w:spacing w:after="150"/>
      </w:pPr>
      <w:r>
        <w:rPr/>
        <w:t xml:space="preserve">第四节 2019-2023年算力营收、成本、毛利率分析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算力行业竞争格局分析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算力行业主要企业竞争力分析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算力行业竞争发展趋势</w:t>
      </w:r>
    </w:p>
    <w:p>
      <w:pPr>
        <w:spacing w:after="150"/>
      </w:pPr>
      <w:r>
        <w:rPr/>
        <w:t xml:space="preserve">一、2019-2023年算力行业竞争分析</w:t>
      </w:r>
    </w:p>
    <w:p>
      <w:pPr>
        <w:spacing w:after="150"/>
      </w:pPr>
      <w:r>
        <w:rPr/>
        <w:t xml:space="preserve">二、2019-2023年国内外算力竞争分析</w:t>
      </w:r>
    </w:p>
    <w:p>
      <w:pPr>
        <w:spacing w:after="150"/>
      </w:pPr>
      <w:r>
        <w:rPr/>
        <w:t xml:space="preserve">三、2024-2029年我国算力市场竞争趋势</w:t>
      </w:r>
    </w:p>
    <w:p>
      <w:pPr>
        <w:spacing w:after="150"/>
      </w:pPr>
      <w:r>
        <w:rPr/>
        <w:t xml:space="preserve">四、2024-2029年我国算力市场集中度变化趋势</w:t>
      </w:r>
    </w:p>
    <w:p>
      <w:pPr>
        <w:spacing w:after="150"/>
      </w:pPr>
      <w:r>
        <w:rPr/>
        <w:t xml:space="preserve">五、2024-2029年国内主要算力企业动向</w:t>
      </w:r>
    </w:p>
    <w:p>
      <w:pPr>
        <w:spacing w:after="150"/>
      </w:pPr>
      <w:r>
        <w:rPr>
          <w:b w:val="1"/>
          <w:bCs w:val="1"/>
        </w:rPr>
        <w:t xml:space="preserve">第八章 算力企业竞争策略分析</w:t>
      </w:r>
    </w:p>
    <w:p>
      <w:pPr>
        <w:spacing w:after="150"/>
      </w:pPr>
      <w:r>
        <w:rPr/>
        <w:t xml:space="preserve">第一节 算力市场竞争策略分析</w:t>
      </w:r>
    </w:p>
    <w:p>
      <w:pPr>
        <w:spacing w:after="150"/>
      </w:pPr>
      <w:r>
        <w:rPr/>
        <w:t xml:space="preserve">一、2019-2023年算力市场增长潜力分析</w:t>
      </w:r>
    </w:p>
    <w:p>
      <w:pPr>
        <w:spacing w:after="150"/>
      </w:pPr>
      <w:r>
        <w:rPr/>
        <w:t xml:space="preserve">二、2019-2023年算力主要潜力品种分析</w:t>
      </w:r>
    </w:p>
    <w:p>
      <w:pPr>
        <w:spacing w:after="150"/>
      </w:pPr>
      <w:r>
        <w:rPr/>
        <w:t xml:space="preserve">三、现有算力产品竞争策略分析</w:t>
      </w:r>
    </w:p>
    <w:p>
      <w:pPr>
        <w:spacing w:after="150"/>
      </w:pPr>
      <w:r>
        <w:rPr/>
        <w:t xml:space="preserve">四、潜力算力品种竞争策略选择</w:t>
      </w:r>
    </w:p>
    <w:p>
      <w:pPr>
        <w:spacing w:after="150"/>
      </w:pPr>
      <w:r>
        <w:rPr/>
        <w:t xml:space="preserve">五、典型企业产品竞争策略分析</w:t>
      </w:r>
    </w:p>
    <w:p>
      <w:pPr>
        <w:spacing w:after="150"/>
      </w:pPr>
      <w:r>
        <w:rPr/>
        <w:t xml:space="preserve">第二节 算力企业竞争策略分析</w:t>
      </w:r>
    </w:p>
    <w:p>
      <w:pPr>
        <w:spacing w:after="150"/>
      </w:pPr>
      <w:r>
        <w:rPr/>
        <w:t xml:space="preserve">一、全球热点对算力行业竞争格局的影响</w:t>
      </w:r>
    </w:p>
    <w:p>
      <w:pPr>
        <w:spacing w:after="150"/>
      </w:pPr>
      <w:r>
        <w:rPr/>
        <w:t xml:space="preserve">二、全球热点后算力行业竞争格局的变化</w:t>
      </w:r>
    </w:p>
    <w:p>
      <w:pPr>
        <w:spacing w:after="150"/>
      </w:pPr>
      <w:r>
        <w:rPr/>
        <w:t xml:space="preserve">三、2024-2029年我国算力市场竞争趋势</w:t>
      </w:r>
    </w:p>
    <w:p>
      <w:pPr>
        <w:spacing w:after="150"/>
      </w:pPr>
      <w:r>
        <w:rPr/>
        <w:t xml:space="preserve">四、2024-2029年算力行业竞争策略分析</w:t>
      </w:r>
    </w:p>
    <w:p>
      <w:pPr>
        <w:spacing w:after="150"/>
      </w:pPr>
      <w:r>
        <w:rPr>
          <w:b w:val="1"/>
          <w:bCs w:val="1"/>
        </w:rPr>
        <w:t xml:space="preserve">第九章 主要算力企业竞争分析</w:t>
      </w:r>
    </w:p>
    <w:p>
      <w:pPr>
        <w:spacing w:after="150"/>
      </w:pPr>
      <w:r>
        <w:rPr/>
        <w:t xml:space="preserve">第一节 微软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谷歌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新华三技术有限公司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超聚变数字技术有限公司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宁畅信息产业(北京)有限公司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中国电信股份有限公司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中国移动通信集团有限公司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2024-2029年算力行业投资前景分析</w:t>
      </w:r>
    </w:p>
    <w:p>
      <w:pPr>
        <w:spacing w:after="150"/>
      </w:pPr>
      <w:r>
        <w:rPr/>
        <w:t xml:space="preserve">第一节 2024-2029年算力市场前景预测分析</w:t>
      </w:r>
    </w:p>
    <w:p>
      <w:pPr>
        <w:spacing w:after="150"/>
      </w:pPr>
      <w:r>
        <w:rPr/>
        <w:t xml:space="preserve">一、算力供应预测分析</w:t>
      </w:r>
    </w:p>
    <w:p>
      <w:pPr>
        <w:spacing w:after="150"/>
      </w:pPr>
      <w:r>
        <w:rPr/>
        <w:t xml:space="preserve">二、算力销售预测分析</w:t>
      </w:r>
    </w:p>
    <w:p>
      <w:pPr>
        <w:spacing w:after="150"/>
      </w:pPr>
      <w:r>
        <w:rPr/>
        <w:t xml:space="preserve">三、算力市场前景预测分析</w:t>
      </w:r>
    </w:p>
    <w:p>
      <w:pPr>
        <w:spacing w:after="150"/>
      </w:pPr>
      <w:r>
        <w:rPr/>
        <w:t xml:space="preserve">第二节 2024-2029年算力行业投资风险分析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2024-2029年算力企业投资策略及建议</w:t>
      </w:r>
    </w:p>
    <w:p>
      <w:pPr>
        <w:spacing w:after="150"/>
      </w:pPr>
      <w:r>
        <w:rPr>
          <w:b w:val="1"/>
          <w:bCs w:val="1"/>
        </w:rPr>
        <w:t xml:space="preserve">第十一章 算力企业投资战略与客户策略分析</w:t>
      </w:r>
    </w:p>
    <w:p>
      <w:pPr>
        <w:spacing w:after="150"/>
      </w:pPr>
      <w:r>
        <w:rPr/>
        <w:t xml:space="preserve">第一节 算力企业发展战略规划背景意义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算力企业战略规划制定依据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算力企业战略规划策略分析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算力企业重点客户战略实施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中国算力产业研究总结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中国算力产业发展趋势分析</w:t>
      </w:r>
    </w:p>
    <w:p>
      <w:pPr>
        <w:spacing w:after="150"/>
      </w:pPr>
      <w:r>
        <w:rPr/>
        <w:t xml:space="preserve">一、中国算力市场趋势</w:t>
      </w:r>
    </w:p>
    <w:p>
      <w:pPr>
        <w:spacing w:after="150"/>
      </w:pPr>
      <w:r>
        <w:rPr/>
        <w:t xml:space="preserve">二、算力发展展望</w:t>
      </w:r>
    </w:p>
    <w:p>
      <w:pPr>
        <w:spacing w:after="150"/>
      </w:pPr>
      <w:r>
        <w:rPr/>
        <w:t xml:space="preserve">三、算力企业竞争趋向</w:t>
      </w:r>
    </w:p>
    <w:p>
      <w:pPr>
        <w:spacing w:after="150"/>
      </w:pPr>
      <w:r>
        <w:rPr>
          <w:b w:val="1"/>
          <w:bCs w:val="1"/>
        </w:rPr>
        <w:t xml:space="preserve">图表目录</w:t>
      </w:r>
    </w:p>
    <w:p>
      <w:pPr>
        <w:spacing w:after="150"/>
      </w:pPr>
      <w:r>
        <w:rPr/>
        <w:t xml:space="preserve">图表：算力产业链分析</w:t>
      </w:r>
    </w:p>
    <w:p>
      <w:pPr>
        <w:spacing w:after="150"/>
      </w:pPr>
      <w:r>
        <w:rPr/>
        <w:t xml:space="preserve">图表：国际算力市场规模</w:t>
      </w:r>
    </w:p>
    <w:p>
      <w:pPr>
        <w:spacing w:after="150"/>
      </w:pPr>
      <w:r>
        <w:rPr/>
        <w:t xml:space="preserve">图表：国际算力生命周期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图表：2019-2023年中国算力市场规模</w:t>
      </w:r>
    </w:p>
    <w:p>
      <w:pPr>
        <w:spacing w:after="150"/>
      </w:pPr>
      <w:r>
        <w:rPr/>
        <w:t xml:space="preserve">图表：2019-2023年我国算力供应情况</w:t>
      </w:r>
    </w:p>
    <w:p>
      <w:pPr>
        <w:spacing w:after="150"/>
      </w:pPr>
      <w:r>
        <w:rPr/>
        <w:t xml:space="preserve">图表：2019-2023年我国算力需求情况</w:t>
      </w:r>
    </w:p>
    <w:p>
      <w:pPr>
        <w:spacing w:after="150"/>
      </w:pPr>
      <w:r>
        <w:rPr/>
        <w:t xml:space="preserve">图表：2024-2029年中国算力市场规模预测</w:t>
      </w:r>
    </w:p>
    <w:p>
      <w:pPr>
        <w:spacing w:after="150"/>
      </w:pPr>
      <w:r>
        <w:rPr/>
        <w:t xml:space="preserve">图表：2024-2029年我国算力供应情况预测</w:t>
      </w:r>
    </w:p>
    <w:p>
      <w:pPr>
        <w:spacing w:after="150"/>
      </w:pPr>
      <w:r>
        <w:rPr/>
        <w:t xml:space="preserve">图表：2024-2029年我国算力需求情况预测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中国算力行业市场发展现状及竞争格局与投资前景研究报告(2024-2029版)</dc:title>
  <dc:description>中国算力行业市场发展现状及竞争格局与投资前景研究报告(2024-2029版)</dc:description>
  <dc:subject>中国算力行业市场发展现状及竞争格局与投资前景研究报告(2024-2029版)</dc:subject>
  <cp:keywords>研究报告</cp:keywords>
  <cp:category>研究报告</cp:category>
  <cp:lastModifiedBy>北京中道泰和信息咨询有限公司</cp:lastModifiedBy>
  <dcterms:created xsi:type="dcterms:W3CDTF">2024-01-26T07:19:10+08:00</dcterms:created>
  <dcterms:modified xsi:type="dcterms:W3CDTF">2024-01-26T07:19:10+08:00</dcterms:modified>
</cp:coreProperties>
</file>

<file path=docProps/custom.xml><?xml version="1.0" encoding="utf-8"?>
<Properties xmlns="http://schemas.openxmlformats.org/officeDocument/2006/custom-properties" xmlns:vt="http://schemas.openxmlformats.org/officeDocument/2006/docPropsVTypes"/>
</file>