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中国类脑计算行业市场发展现状及建设案例与发展趋势研究报告(2024-2029版)</w:t>
      </w:r>
    </w:p>
    <w:p>
      <w:pPr>
        <w:spacing w:after="150"/>
      </w:pPr>
      <w:r>
        <w:rPr>
          <w:b w:val="1"/>
          <w:bCs w:val="1"/>
        </w:rPr>
        <w:t xml:space="preserve">报告简介</w:t>
      </w:r>
    </w:p>
    <w:p>
      <w:pPr>
        <w:spacing w:after="150"/>
      </w:pPr>
      <w:r>
        <w:rPr/>
        <w:t xml:space="preserve">类脑计算处理器的基本特点包括：并行运算架构，可大规模扩展，存储计算一体化，事件驱动运算，无时钟(异步)，稀松计算，稀松网络连接，具有可塑性及容错性，具有片上学习能力等。</w:t>
      </w:r>
    </w:p>
    <w:p>
      <w:pPr>
        <w:spacing w:after="150"/>
      </w:pPr>
      <w:r>
        <w:rPr/>
        <w:t xml:space="preserve">传统的AI技术解决方案商已经初具规模并普遍被市场认可。目前类脑技术的主要玩家包括市场导向型及研究驱动型。市场导向型公司主要包括：SynSense时识科技、GrAl Matter Labs、Brainchips、Prophesee、IniVation、Samsung等。研究驱动型主要包括：Intel、IBM、IMEC、Fraunhofer、CEA-Leti等，以及及国际各知名高校：苏黎世大学、苏黎世联邦理工、斯坦福、麻省理工、曼彻斯特大学、清华大学等。</w:t>
      </w:r>
    </w:p>
    <w:p>
      <w:pPr>
        <w:spacing w:after="150"/>
      </w:pPr>
      <w:r>
        <w:rPr/>
        <w:t xml:space="preserve">本研究咨询报告由北京中道泰和信息咨询有限公司领衔撰写，在大量周密的市场调研基础上，主要依据了国家统计局、国家农业农村部、国家工信部、国家商务部、国家发改委、国务院发展研究中心、51行业报告网、全国及海外多种相关报刊杂志以及专业研究机构公布和提供的大量资料，对我国类脑计算行业的发展状况、上下游行业发展状况、市场供需形势、新产品与技术等进行了分析，并重点分析了我国类脑计算行业发展状况和特点，以及中国类脑计算行业将面临的挑战、相关企业的发展策略等。报告还对类脑计算行业发展态势作了详细分析，并对类脑计算行业进行了趋向研判，是类脑计算行业经营企业，科研、投资机构等单位准确了解目前我国类脑计算发展动态，把握企业定位和发展方向不可多得的精品。</w:t>
      </w:r>
    </w:p>
    <w:p>
      <w:pPr>
        <w:spacing w:after="150"/>
      </w:pPr>
      <w:r>
        <w:rPr>
          <w:b w:val="1"/>
          <w:bCs w:val="1"/>
        </w:rPr>
        <w:t xml:space="preserve">报告目录</w:t>
      </w:r>
    </w:p>
    <w:p>
      <w:pPr>
        <w:spacing w:after="150"/>
      </w:pPr>
      <w:r>
        <w:rPr>
          <w:b w:val="1"/>
          <w:bCs w:val="1"/>
        </w:rPr>
        <w:t xml:space="preserve">第一章 类脑计算行业概述</w:t>
      </w:r>
    </w:p>
    <w:p>
      <w:pPr>
        <w:spacing w:after="150"/>
      </w:pPr>
      <w:r>
        <w:rPr/>
        <w:t xml:space="preserve">第一节 类脑计算技术的定义</w:t>
      </w:r>
    </w:p>
    <w:p>
      <w:pPr>
        <w:spacing w:after="150"/>
      </w:pPr>
      <w:r>
        <w:rPr/>
        <w:t xml:space="preserve">第二节 类脑计算技术的发展历程</w:t>
      </w:r>
    </w:p>
    <w:p>
      <w:pPr>
        <w:spacing w:after="150"/>
      </w:pPr>
      <w:r>
        <w:rPr/>
        <w:t xml:space="preserve">第三节 类脑计算技术发展的意义</w:t>
      </w:r>
    </w:p>
    <w:p>
      <w:pPr>
        <w:spacing w:after="150"/>
      </w:pPr>
      <w:r>
        <w:rPr/>
        <w:t xml:space="preserve">第四节 类脑计算主要技术类型</w:t>
      </w:r>
    </w:p>
    <w:p>
      <w:pPr>
        <w:spacing w:after="150"/>
      </w:pPr>
      <w:r>
        <w:rPr/>
        <w:t xml:space="preserve">第五节 类脑计算主要技术路线</w:t>
      </w:r>
    </w:p>
    <w:p>
      <w:pPr>
        <w:spacing w:after="150"/>
      </w:pPr>
      <w:r>
        <w:rPr/>
        <w:t xml:space="preserve">一、结构层次模仿脑</w:t>
      </w:r>
    </w:p>
    <w:p>
      <w:pPr>
        <w:spacing w:after="150"/>
      </w:pPr>
      <w:r>
        <w:rPr/>
        <w:t xml:space="preserve">二、器件层次逼近脑</w:t>
      </w:r>
    </w:p>
    <w:p>
      <w:pPr>
        <w:spacing w:after="150"/>
      </w:pPr>
      <w:r>
        <w:rPr/>
        <w:t xml:space="preserve">三、智能层次超越脑</w:t>
      </w:r>
    </w:p>
    <w:p>
      <w:pPr>
        <w:spacing w:after="150"/>
      </w:pPr>
      <w:r>
        <w:rPr>
          <w:b w:val="1"/>
          <w:bCs w:val="1"/>
        </w:rPr>
        <w:t xml:space="preserve">第二章 类脑计算相关基础介绍</w:t>
      </w:r>
    </w:p>
    <w:p>
      <w:pPr>
        <w:spacing w:after="150"/>
      </w:pPr>
      <w:r>
        <w:rPr/>
        <w:t xml:space="preserve">第一节 类脑计算</w:t>
      </w:r>
    </w:p>
    <w:p>
      <w:pPr>
        <w:spacing w:after="150"/>
      </w:pPr>
      <w:r>
        <w:rPr/>
        <w:t xml:space="preserve">一、神经元模型</w:t>
      </w:r>
    </w:p>
    <w:p>
      <w:pPr>
        <w:spacing w:after="150"/>
      </w:pPr>
      <w:r>
        <w:rPr/>
        <w:t xml:space="preserve">二、突触模型</w:t>
      </w:r>
    </w:p>
    <w:p>
      <w:pPr>
        <w:spacing w:after="150"/>
      </w:pPr>
      <w:r>
        <w:rPr/>
        <w:t xml:space="preserve">三、网络拓扑</w:t>
      </w:r>
    </w:p>
    <w:p>
      <w:pPr>
        <w:spacing w:after="150"/>
      </w:pPr>
      <w:r>
        <w:rPr/>
        <w:t xml:space="preserve">四、学习算法</w:t>
      </w:r>
    </w:p>
    <w:p>
      <w:pPr>
        <w:spacing w:after="150"/>
      </w:pPr>
      <w:r>
        <w:rPr/>
        <w:t xml:space="preserve">第二节 类脑计算仿真工具nest运行机制</w:t>
      </w:r>
    </w:p>
    <w:p>
      <w:pPr>
        <w:spacing w:after="150"/>
      </w:pPr>
      <w:r>
        <w:rPr/>
        <w:t xml:space="preserve">第三节 zynq平台介绍</w:t>
      </w:r>
    </w:p>
    <w:p>
      <w:pPr>
        <w:spacing w:after="150"/>
      </w:pPr>
      <w:r>
        <w:rPr/>
        <w:t xml:space="preserve">第四节 zynq开发方式</w:t>
      </w:r>
    </w:p>
    <w:p>
      <w:pPr>
        <w:spacing w:after="150"/>
      </w:pPr>
      <w:r>
        <w:rPr/>
        <w:t xml:space="preserve">一、优化方法</w:t>
      </w:r>
    </w:p>
    <w:p>
      <w:pPr>
        <w:spacing w:after="150"/>
      </w:pPr>
      <w:r>
        <w:rPr/>
        <w:t xml:space="preserve">二、开发流程.</w:t>
      </w:r>
    </w:p>
    <w:p>
      <w:pPr>
        <w:spacing w:after="150"/>
      </w:pPr>
      <w:r>
        <w:rPr>
          <w:b w:val="1"/>
          <w:bCs w:val="1"/>
        </w:rPr>
        <w:t xml:space="preserve">第三章 视觉感知类脑计算技术的理论基础</w:t>
      </w:r>
    </w:p>
    <w:p>
      <w:pPr>
        <w:spacing w:after="150"/>
      </w:pPr>
      <w:r>
        <w:rPr/>
        <w:t xml:space="preserve">第一节 视觉感知类脑计算技术发展历程</w:t>
      </w:r>
    </w:p>
    <w:p>
      <w:pPr>
        <w:spacing w:after="150"/>
      </w:pPr>
      <w:r>
        <w:rPr/>
        <w:t xml:space="preserve">第二节 视觉感知类脑计算技术国内外研究现状</w:t>
      </w:r>
    </w:p>
    <w:p>
      <w:pPr>
        <w:spacing w:after="150"/>
      </w:pPr>
      <w:r>
        <w:rPr/>
        <w:t xml:space="preserve">第三节 视路通</w:t>
      </w:r>
    </w:p>
    <w:p>
      <w:pPr>
        <w:spacing w:after="150"/>
      </w:pPr>
      <w:r>
        <w:rPr/>
        <w:t xml:space="preserve">一、概述</w:t>
      </w:r>
    </w:p>
    <w:p>
      <w:pPr>
        <w:spacing w:after="150"/>
      </w:pPr>
      <w:r>
        <w:rPr/>
        <w:t xml:space="preserve">二、视网膜感观细胞</w:t>
      </w:r>
    </w:p>
    <w:p>
      <w:pPr>
        <w:spacing w:after="150"/>
      </w:pPr>
      <w:r>
        <w:rPr/>
        <w:t xml:space="preserve">三、外侧膝状体</w:t>
      </w:r>
    </w:p>
    <w:p>
      <w:pPr>
        <w:spacing w:after="150"/>
      </w:pPr>
      <w:r>
        <w:rPr/>
        <w:t xml:space="preserve">四、视觉皮层</w:t>
      </w:r>
    </w:p>
    <w:p>
      <w:pPr>
        <w:spacing w:after="150"/>
      </w:pPr>
      <w:r>
        <w:rPr/>
        <w:t xml:space="preserve">第四节 感受野</w:t>
      </w:r>
    </w:p>
    <w:p>
      <w:pPr>
        <w:spacing w:after="150"/>
      </w:pPr>
      <w:r>
        <w:rPr/>
        <w:t xml:space="preserve">第五节 神经元</w:t>
      </w:r>
    </w:p>
    <w:p>
      <w:pPr>
        <w:spacing w:after="150"/>
      </w:pPr>
      <w:r>
        <w:rPr>
          <w:b w:val="1"/>
          <w:bCs w:val="1"/>
        </w:rPr>
        <w:t xml:space="preserve">第四章 国内外类脑计算产业发展现状分析</w:t>
      </w:r>
    </w:p>
    <w:p>
      <w:pPr>
        <w:spacing w:after="150"/>
      </w:pPr>
      <w:r>
        <w:rPr/>
        <w:t xml:space="preserve">第一节 国内外类脑计算产业战略发展规划</w:t>
      </w:r>
    </w:p>
    <w:p>
      <w:pPr>
        <w:spacing w:after="150"/>
      </w:pPr>
      <w:r>
        <w:rPr/>
        <w:t xml:space="preserve">一、国外主要国家类脑计算产业主要战略发展规划</w:t>
      </w:r>
    </w:p>
    <w:p>
      <w:pPr>
        <w:spacing w:after="150"/>
      </w:pPr>
      <w:r>
        <w:rPr/>
        <w:t xml:space="preserve">1、欧盟</w:t>
      </w:r>
    </w:p>
    <w:p>
      <w:pPr>
        <w:spacing w:after="150"/>
      </w:pPr>
      <w:r>
        <w:rPr/>
        <w:t xml:space="preserve">2、美国</w:t>
      </w:r>
    </w:p>
    <w:p>
      <w:pPr>
        <w:spacing w:after="150"/>
      </w:pPr>
      <w:r>
        <w:rPr/>
        <w:t xml:space="preserve">3、日本</w:t>
      </w:r>
    </w:p>
    <w:p>
      <w:pPr>
        <w:spacing w:after="150"/>
      </w:pPr>
      <w:r>
        <w:rPr/>
        <w:t xml:space="preserve">4、韩国</w:t>
      </w:r>
    </w:p>
    <w:p>
      <w:pPr>
        <w:spacing w:after="150"/>
      </w:pPr>
      <w:r>
        <w:rPr/>
        <w:t xml:space="preserve">二、国内主要国家类脑计算产业主要战略发展规划</w:t>
      </w:r>
    </w:p>
    <w:p>
      <w:pPr>
        <w:spacing w:after="150"/>
      </w:pPr>
      <w:r>
        <w:rPr/>
        <w:t xml:space="preserve">第二节 国内外类脑计算产业发展态势</w:t>
      </w:r>
    </w:p>
    <w:p>
      <w:pPr>
        <w:spacing w:after="150"/>
      </w:pPr>
      <w:r>
        <w:rPr/>
        <w:t xml:space="preserve">一、国外主要国家类脑计算产业发展态势</w:t>
      </w:r>
    </w:p>
    <w:p>
      <w:pPr>
        <w:spacing w:after="150"/>
      </w:pPr>
      <w:r>
        <w:rPr/>
        <w:t xml:space="preserve">1、欧盟</w:t>
      </w:r>
    </w:p>
    <w:p>
      <w:pPr>
        <w:spacing w:after="150"/>
      </w:pPr>
      <w:r>
        <w:rPr/>
        <w:t xml:space="preserve">2、美国</w:t>
      </w:r>
    </w:p>
    <w:p>
      <w:pPr>
        <w:spacing w:after="150"/>
      </w:pPr>
      <w:r>
        <w:rPr/>
        <w:t xml:space="preserve">3、日本</w:t>
      </w:r>
    </w:p>
    <w:p>
      <w:pPr>
        <w:spacing w:after="150"/>
      </w:pPr>
      <w:r>
        <w:rPr/>
        <w:t xml:space="preserve">4、韩国</w:t>
      </w:r>
    </w:p>
    <w:p>
      <w:pPr>
        <w:spacing w:after="150"/>
      </w:pPr>
      <w:r>
        <w:rPr/>
        <w:t xml:space="preserve">二、国内主要国家类脑计算产业发展态势</w:t>
      </w:r>
    </w:p>
    <w:p>
      <w:pPr>
        <w:spacing w:after="150"/>
      </w:pPr>
      <w:r>
        <w:rPr/>
        <w:t xml:space="preserve">三、我国科学家成功研制亿级神经元类脑计算机</w:t>
      </w:r>
    </w:p>
    <w:p>
      <w:pPr>
        <w:spacing w:after="150"/>
      </w:pPr>
      <w:r>
        <w:rPr/>
        <w:t xml:space="preserve">第三节 类脑计算产业研究最新进展</w:t>
      </w:r>
    </w:p>
    <w:p>
      <w:pPr>
        <w:spacing w:after="150"/>
      </w:pPr>
      <w:r>
        <w:rPr/>
        <w:t xml:space="preserve">一、论文产出情况</w:t>
      </w:r>
    </w:p>
    <w:p>
      <w:pPr>
        <w:spacing w:after="150"/>
      </w:pPr>
      <w:r>
        <w:rPr/>
        <w:t xml:space="preserve">二、成果产业化情况</w:t>
      </w:r>
    </w:p>
    <w:p>
      <w:pPr>
        <w:spacing w:after="150"/>
      </w:pPr>
      <w:r>
        <w:rPr/>
        <w:t xml:space="preserve">第四节 类脑计算商业化情况</w:t>
      </w:r>
    </w:p>
    <w:p>
      <w:pPr>
        <w:spacing w:after="150"/>
      </w:pPr>
      <w:r>
        <w:rPr/>
        <w:t xml:space="preserve">一、全球类脑计算市场规模及预测</w:t>
      </w:r>
    </w:p>
    <w:p>
      <w:pPr>
        <w:spacing w:after="150"/>
      </w:pPr>
      <w:r>
        <w:rPr/>
        <w:t xml:space="preserve">二、类脑计算下游应用普及时间</w:t>
      </w:r>
    </w:p>
    <w:p>
      <w:pPr>
        <w:spacing w:after="150"/>
      </w:pPr>
      <w:r>
        <w:rPr>
          <w:b w:val="1"/>
          <w:bCs w:val="1"/>
        </w:rPr>
        <w:t xml:space="preserve">第五章 类脑计算主要芯片及相关技术</w:t>
      </w:r>
    </w:p>
    <w:p>
      <w:pPr>
        <w:spacing w:after="150"/>
      </w:pPr>
      <w:r>
        <w:rPr/>
        <w:t xml:space="preserve">第一节 类脑计算芯片技术发展历程</w:t>
      </w:r>
    </w:p>
    <w:p>
      <w:pPr>
        <w:spacing w:after="150"/>
      </w:pPr>
      <w:r>
        <w:rPr/>
        <w:t xml:space="preserve">第二节 人工神经网络算法加速芯片</w:t>
      </w:r>
    </w:p>
    <w:p>
      <w:pPr>
        <w:spacing w:after="150"/>
      </w:pPr>
      <w:r>
        <w:rPr/>
        <w:t xml:space="preserve">第三节 神经形态智能芯片</w:t>
      </w:r>
    </w:p>
    <w:p>
      <w:pPr>
        <w:spacing w:after="150"/>
      </w:pPr>
      <w:r>
        <w:rPr/>
        <w:t xml:space="preserve">一、基于传统cmos器件和电路的神经形态计算芯片</w:t>
      </w:r>
    </w:p>
    <w:p>
      <w:pPr>
        <w:spacing w:after="150"/>
      </w:pPr>
      <w:r>
        <w:rPr/>
        <w:t xml:space="preserve">二、新型神经形态器件及神经形态智能芯片</w:t>
      </w:r>
    </w:p>
    <w:p>
      <w:pPr>
        <w:spacing w:after="150"/>
      </w:pPr>
      <w:r>
        <w:rPr/>
        <w:t xml:space="preserve">第四节 类脑计算芯片未来发展趋势</w:t>
      </w:r>
    </w:p>
    <w:p>
      <w:pPr>
        <w:spacing w:after="150"/>
      </w:pPr>
      <w:r>
        <w:rPr/>
        <w:t xml:space="preserve">一、神经形态器件层面</w:t>
      </w:r>
    </w:p>
    <w:p>
      <w:pPr>
        <w:spacing w:after="150"/>
      </w:pPr>
      <w:r>
        <w:rPr/>
        <w:t xml:space="preserve">二、模型层面</w:t>
      </w:r>
    </w:p>
    <w:p>
      <w:pPr>
        <w:spacing w:after="150"/>
      </w:pPr>
      <w:r>
        <w:rPr/>
        <w:t xml:space="preserve">三、系统架构层面</w:t>
      </w:r>
    </w:p>
    <w:p>
      <w:pPr>
        <w:spacing w:after="150"/>
      </w:pPr>
      <w:r>
        <w:rPr/>
        <w:t xml:space="preserve">四、算法层面</w:t>
      </w:r>
    </w:p>
    <w:p>
      <w:pPr>
        <w:spacing w:after="150"/>
      </w:pPr>
      <w:r>
        <w:rPr/>
        <w:t xml:space="preserve">五、脑机混合智能层面</w:t>
      </w:r>
    </w:p>
    <w:p>
      <w:pPr>
        <w:spacing w:after="150"/>
      </w:pPr>
      <w:r>
        <w:rPr/>
        <w:t xml:space="preserve">第五节 类脑计算主要芯片发展情况</w:t>
      </w:r>
    </w:p>
    <w:p>
      <w:pPr>
        <w:spacing w:after="150"/>
      </w:pPr>
      <w:r>
        <w:rPr/>
        <w:t xml:space="preserve">一、ibm true north(synapse芯片)</w:t>
      </w:r>
    </w:p>
    <w:p>
      <w:pPr>
        <w:spacing w:after="150"/>
      </w:pPr>
      <w:r>
        <w:rPr/>
        <w:t xml:space="preserve">二、英特尔loihi芯片</w:t>
      </w:r>
    </w:p>
    <w:p>
      <w:pPr>
        <w:spacing w:after="150"/>
      </w:pPr>
      <w:r>
        <w:rPr/>
        <w:t xml:space="preserve">三、高通zeroth芯片</w:t>
      </w:r>
    </w:p>
    <w:p>
      <w:pPr>
        <w:spacing w:after="150"/>
      </w:pPr>
      <w:r>
        <w:rPr/>
        <w:t xml:space="preserve">四、西井科技deepsouth芯片</w:t>
      </w:r>
    </w:p>
    <w:p>
      <w:pPr>
        <w:spacing w:after="150"/>
      </w:pPr>
      <w:r>
        <w:rPr/>
        <w:t xml:space="preserve">五、ai-ctx芯片</w:t>
      </w:r>
    </w:p>
    <w:p>
      <w:pPr>
        <w:spacing w:after="150"/>
      </w:pPr>
      <w:r>
        <w:rPr/>
        <w:t xml:space="preserve">六、浙大“达尔文”类脑芯片</w:t>
      </w:r>
    </w:p>
    <w:p>
      <w:pPr>
        <w:spacing w:after="150"/>
      </w:pPr>
      <w:r>
        <w:rPr/>
        <w:t xml:space="preserve">七、清华大学“天机芯”类脑芯片</w:t>
      </w:r>
    </w:p>
    <w:p>
      <w:pPr>
        <w:spacing w:after="150"/>
      </w:pPr>
      <w:r>
        <w:rPr>
          <w:b w:val="1"/>
          <w:bCs w:val="1"/>
        </w:rPr>
        <w:t xml:space="preserve">第六章 类脑计算技术创新方向及应用</w:t>
      </w:r>
    </w:p>
    <w:p>
      <w:pPr>
        <w:spacing w:after="150"/>
      </w:pPr>
      <w:r>
        <w:rPr/>
        <w:t xml:space="preserve">第一节 脉冲神经网络</w:t>
      </w:r>
    </w:p>
    <w:p>
      <w:pPr>
        <w:spacing w:after="150"/>
      </w:pPr>
      <w:r>
        <w:rPr/>
        <w:t xml:space="preserve">一、脉冲神经网络在类脑计算方法中的应用</w:t>
      </w:r>
    </w:p>
    <w:p>
      <w:pPr>
        <w:spacing w:after="150"/>
      </w:pPr>
      <w:r>
        <w:rPr/>
        <w:t xml:space="preserve">二、脉冲神经网络的神经芯片的研究</w:t>
      </w:r>
    </w:p>
    <w:p>
      <w:pPr>
        <w:spacing w:after="150"/>
      </w:pPr>
      <w:r>
        <w:rPr/>
        <w:t xml:space="preserve">三、脉冲神经网络的训练与学习算法</w:t>
      </w:r>
    </w:p>
    <w:p>
      <w:pPr>
        <w:spacing w:after="150"/>
      </w:pPr>
      <w:r>
        <w:rPr/>
        <w:t xml:space="preserve">四、脉冲神经网络的类脑计算发展方向</w:t>
      </w:r>
    </w:p>
    <w:p>
      <w:pPr>
        <w:spacing w:after="150"/>
      </w:pPr>
      <w:r>
        <w:rPr/>
        <w:t xml:space="preserve">第二节 类脑传感器</w:t>
      </w:r>
    </w:p>
    <w:p>
      <w:pPr>
        <w:spacing w:after="150"/>
      </w:pPr>
      <w:r>
        <w:rPr/>
        <w:t xml:space="preserve">一、类脑视听嗅觉传感器</w:t>
      </w:r>
    </w:p>
    <w:p>
      <w:pPr>
        <w:spacing w:after="150"/>
      </w:pPr>
      <w:r>
        <w:rPr/>
        <w:t xml:space="preserve">二、脑机接口技术</w:t>
      </w:r>
    </w:p>
    <w:p>
      <w:pPr>
        <w:spacing w:after="150"/>
      </w:pPr>
      <w:r>
        <w:rPr/>
        <w:t xml:space="preserve">第三节 类脑计算在导航的应用</w:t>
      </w:r>
    </w:p>
    <w:p>
      <w:pPr>
        <w:spacing w:after="150"/>
      </w:pPr>
      <w:r>
        <w:rPr/>
        <w:t xml:space="preserve">一、动物大脑导航原理</w:t>
      </w:r>
    </w:p>
    <w:p>
      <w:pPr>
        <w:spacing w:after="150"/>
      </w:pPr>
      <w:r>
        <w:rPr/>
        <w:t xml:space="preserve">二、类脑计算导航技术概述</w:t>
      </w:r>
    </w:p>
    <w:p>
      <w:pPr>
        <w:spacing w:after="150"/>
      </w:pPr>
      <w:r>
        <w:rPr/>
        <w:t xml:space="preserve">三、类脑计算导航技术研究现状</w:t>
      </w:r>
    </w:p>
    <w:p>
      <w:pPr>
        <w:spacing w:after="150"/>
      </w:pPr>
      <w:r>
        <w:rPr/>
        <w:t xml:space="preserve">四、类脑计算导航技术研究新趋势</w:t>
      </w:r>
    </w:p>
    <w:p>
      <w:pPr>
        <w:spacing w:after="150"/>
      </w:pPr>
      <w:r>
        <w:rPr/>
        <w:t xml:space="preserve">1、导航智能化</w:t>
      </w:r>
    </w:p>
    <w:p>
      <w:pPr>
        <w:spacing w:after="150"/>
      </w:pPr>
      <w:r>
        <w:rPr/>
        <w:t xml:space="preserve">2、类脑神经形态导航系统</w:t>
      </w:r>
    </w:p>
    <w:p>
      <w:pPr>
        <w:spacing w:after="150"/>
      </w:pPr>
      <w:r>
        <w:rPr/>
        <w:t xml:space="preserve">五、类脑计算群体导航技术</w:t>
      </w:r>
    </w:p>
    <w:p>
      <w:pPr>
        <w:spacing w:after="150"/>
      </w:pPr>
      <w:r>
        <w:rPr/>
        <w:t xml:space="preserve">六、类脑计算导航技术典型案例列举</w:t>
      </w:r>
    </w:p>
    <w:p>
      <w:pPr>
        <w:spacing w:after="150"/>
      </w:pPr>
      <w:r>
        <w:rPr/>
        <w:t xml:space="preserve">第四节 类脑计算在脑机接口的应用</w:t>
      </w:r>
    </w:p>
    <w:p>
      <w:pPr>
        <w:spacing w:after="150"/>
      </w:pPr>
      <w:r>
        <w:rPr/>
        <w:t xml:space="preserve">第五节 类脑在智能机器人的应用</w:t>
      </w:r>
    </w:p>
    <w:p>
      <w:pPr>
        <w:spacing w:after="150"/>
      </w:pPr>
      <w:r>
        <w:rPr>
          <w:b w:val="1"/>
          <w:bCs w:val="1"/>
        </w:rPr>
        <w:t xml:space="preserve">第七章 类脑计算产业发展及技术发展趋势分析</w:t>
      </w:r>
    </w:p>
    <w:p>
      <w:pPr>
        <w:spacing w:after="150"/>
      </w:pPr>
      <w:r>
        <w:rPr/>
        <w:t xml:space="preserve">第一节 影响类脑计算行业发展的主要因素</w:t>
      </w:r>
    </w:p>
    <w:p>
      <w:pPr>
        <w:spacing w:after="150"/>
      </w:pPr>
      <w:r>
        <w:rPr/>
        <w:t xml:space="preserve">一、影响类脑计算行业运行的有利因素分析</w:t>
      </w:r>
    </w:p>
    <w:p>
      <w:pPr>
        <w:spacing w:after="150"/>
      </w:pPr>
      <w:r>
        <w:rPr/>
        <w:t xml:space="preserve">二、影响类脑计算行业运行的稳定因素分析</w:t>
      </w:r>
    </w:p>
    <w:p>
      <w:pPr>
        <w:spacing w:after="150"/>
      </w:pPr>
      <w:r>
        <w:rPr/>
        <w:t xml:space="preserve">三、影响类脑计算行业运行的不利因素分析</w:t>
      </w:r>
    </w:p>
    <w:p>
      <w:pPr>
        <w:spacing w:after="150"/>
      </w:pPr>
      <w:r>
        <w:rPr/>
        <w:t xml:space="preserve">四、我国类脑计算行业发展面临的挑战分析</w:t>
      </w:r>
    </w:p>
    <w:p>
      <w:pPr>
        <w:spacing w:after="150"/>
      </w:pPr>
      <w:r>
        <w:rPr/>
        <w:t xml:space="preserve">五、我国类脑计算行业发展面临的机遇分析</w:t>
      </w:r>
    </w:p>
    <w:p>
      <w:pPr>
        <w:spacing w:after="150"/>
      </w:pPr>
      <w:r>
        <w:rPr/>
        <w:t xml:space="preserve">第二节 类脑计算行业投资风险及控制策略分析</w:t>
      </w:r>
    </w:p>
    <w:p>
      <w:pPr>
        <w:spacing w:after="150"/>
      </w:pPr>
      <w:r>
        <w:rPr/>
        <w:t xml:space="preserve">一、类脑计算行业市场风险及控制策略</w:t>
      </w:r>
    </w:p>
    <w:p>
      <w:pPr>
        <w:spacing w:after="150"/>
      </w:pPr>
      <w:r>
        <w:rPr/>
        <w:t xml:space="preserve">二、类脑计算行业政策风险及控制策略</w:t>
      </w:r>
    </w:p>
    <w:p>
      <w:pPr>
        <w:spacing w:after="150"/>
      </w:pPr>
      <w:r>
        <w:rPr/>
        <w:t xml:space="preserve">三、类脑计算行业技术风险及控制策略</w:t>
      </w:r>
    </w:p>
    <w:p>
      <w:pPr>
        <w:spacing w:after="150"/>
      </w:pPr>
      <w:r>
        <w:rPr/>
        <w:t xml:space="preserve">四、类脑计算行业其他风险及控制策略</w:t>
      </w:r>
    </w:p>
    <w:p>
      <w:pPr>
        <w:spacing w:after="150"/>
      </w:pPr>
      <w:r>
        <w:rPr/>
        <w:t xml:space="preserve">第三节 类脑计算神经形态器件技术发展趋势</w:t>
      </w:r>
    </w:p>
    <w:p>
      <w:pPr>
        <w:spacing w:after="150"/>
      </w:pPr>
      <w:r>
        <w:rPr/>
        <w:t xml:space="preserve">第四节 类脑计算神经网络芯片技术发展趋势</w:t>
      </w:r>
    </w:p>
    <w:p>
      <w:pPr>
        <w:spacing w:after="150"/>
      </w:pPr>
      <w:r>
        <w:rPr/>
        <w:t xml:space="preserve">第五节 类脑计算类脑计算模型与应用技术发展趋势</w:t>
      </w:r>
    </w:p>
    <w:p>
      <w:pPr>
        <w:spacing w:after="150"/>
      </w:pPr>
      <w:r>
        <w:rPr>
          <w:b w:val="1"/>
          <w:bCs w:val="1"/>
        </w:rPr>
        <w:t xml:space="preserve">第八章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一、类脑计算发展需软硬结合同步推进</w:t>
      </w:r>
    </w:p>
    <w:p>
      <w:pPr>
        <w:spacing w:after="150"/>
      </w:pPr>
      <w:r>
        <w:rPr/>
        <w:t xml:space="preserve">二、类脑芯片有望孕育大量商业机会</w:t>
      </w:r>
    </w:p>
    <w:p>
      <w:pPr>
        <w:spacing w:after="150"/>
      </w:pPr>
      <w:r>
        <w:rPr/>
        <w:t xml:space="preserve">三、融合创新是推进类脑计算发展的关键</w:t>
      </w:r>
    </w:p>
    <w:p>
      <w:pPr>
        <w:spacing w:after="150"/>
      </w:pPr>
      <w:r>
        <w:rPr>
          <w:b w:val="1"/>
          <w:bCs w:val="1"/>
        </w:rPr>
        <w:t xml:space="preserve">图表目录</w:t>
      </w:r>
    </w:p>
    <w:p>
      <w:pPr>
        <w:spacing w:after="150"/>
      </w:pPr>
      <w:r>
        <w:rPr/>
        <w:t xml:space="preserve">图表：类脑计算主要技术类型</w:t>
      </w:r>
    </w:p>
    <w:p>
      <w:pPr>
        <w:spacing w:after="150"/>
      </w:pPr>
      <w:r>
        <w:rPr/>
        <w:t xml:space="preserve">图表：类脑计算论文产出情况</w:t>
      </w:r>
    </w:p>
    <w:p>
      <w:pPr>
        <w:spacing w:after="150"/>
      </w:pPr>
      <w:r>
        <w:rPr/>
        <w:t xml:space="preserve">图表：类脑计算成果产业化情况</w:t>
      </w:r>
    </w:p>
    <w:p>
      <w:pPr>
        <w:spacing w:after="150"/>
      </w:pPr>
      <w:r>
        <w:rPr/>
        <w:t xml:space="preserve">图表：类脑技术主要玩家</w:t>
      </w:r>
    </w:p>
    <w:p>
      <w:pPr>
        <w:spacing w:after="150"/>
      </w:pPr>
      <w:r>
        <w:rPr/>
        <w:t xml:space="preserve">图表：类脑芯片参数对比</w:t>
      </w:r>
    </w:p>
    <w:p>
      <w:pPr>
        <w:spacing w:after="150"/>
      </w:pPr>
      <w:r>
        <w:rPr/>
        <w:t xml:space="preserve">图表：类脑计算市场规模预测</w:t>
      </w:r>
    </w:p>
    <w:p>
      <w:pPr>
        <w:spacing w:after="150"/>
      </w:pPr>
      <w:r>
        <w:rPr/>
        <w:t xml:space="preserve">图表：全球类脑计算市场规模及预测</w:t>
      </w:r>
    </w:p>
    <w:p>
      <w:pPr>
        <w:spacing w:after="150"/>
      </w:pPr>
      <w:r>
        <w:rPr/>
        <w:t xml:space="preserve">图表：类脑计算下游应用普及时间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中国类脑计算行业市场发展现状及建设案例与发展趋势研究报告(2024-2029版)</dc:title>
  <dc:description>中国类脑计算行业市场发展现状及建设案例与发展趋势研究报告(2024-2029版)</dc:description>
  <dc:subject>中国类脑计算行业市场发展现状及建设案例与发展趋势研究报告(2024-2029版)</dc:subject>
  <cp:keywords>研究报告</cp:keywords>
  <cp:category>研究报告</cp:category>
  <cp:lastModifiedBy>北京中道泰和信息咨询有限公司</cp:lastModifiedBy>
  <dcterms:created xsi:type="dcterms:W3CDTF">2024-01-26T02:40:04+08:00</dcterms:created>
  <dcterms:modified xsi:type="dcterms:W3CDTF">2024-01-26T02:40:04+08:00</dcterms:modified>
</cp:coreProperties>
</file>

<file path=docProps/custom.xml><?xml version="1.0" encoding="utf-8"?>
<Properties xmlns="http://schemas.openxmlformats.org/officeDocument/2006/custom-properties" xmlns:vt="http://schemas.openxmlformats.org/officeDocument/2006/docPropsVTypes"/>
</file>