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电力设备产品的功能及消费者关注的因素</w:t>
      </w:r>
    </w:p>
    <w:p>
      <w:pPr>
        <w:spacing w:after="150"/>
      </w:pPr>
      <w:r>
        <w:rPr/>
        <w:t xml:space="preserve">一、电力设备产品功能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图表：电力设备消费结构分析</w:t>
      </w:r>
    </w:p>
    <w:p>
      <w:pPr>
        <w:spacing w:after="150"/>
      </w:pPr>
      <w:r>
        <w:rPr/>
        <w:t xml:space="preserve">图表：电力设备消费的市场变化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图表：电力设备行业品牌忠诚度调查</w:t>
      </w:r>
    </w:p>
    <w:p>
      <w:pPr>
        <w:spacing w:after="150"/>
      </w:pPr>
      <w:r>
        <w:rPr/>
        <w:t xml:space="preserve">图表：电力设备行业品牌市场占有率调查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电力设备产品入市调查研究报告(2024-2029版)</dc:title>
  <dc:description>电力设备产品入市调查研究报告(2024-2029版)</dc:description>
  <dc:subject>电力设备产品入市调查研究报告(2024-2029版)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2024-03-08T19:09:02+08:00</dcterms:created>
  <dcterms:modified xsi:type="dcterms:W3CDTF">2024-03-08T19:09:02+08:00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