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中国培训行业市场深度分析及发展趋势与投资前景研究报告(2024-2029版)</w:t>
      </w:r>
    </w:p>
    <w:p>
      <w:pPr>
        <w:spacing w:after="150"/>
      </w:pPr>
      <w:r>
        <w:rPr>
          <w:b w:val="1"/>
          <w:bCs w:val="1"/>
        </w:rPr>
        <w:t xml:space="preserve">报告简介</w:t>
      </w:r>
    </w:p>
    <w:p>
      <w:pPr>
        <w:spacing w:after="150"/>
      </w:pPr>
      <w:r>
        <w:rPr/>
        <w:t xml:space="preserve">培训就是培养+训练，通过培养加训练使受训者掌握某种技能的方式。国内培训主要以技能培训为主，侧重于行为之前。为了达到统一的科学技术规范、标准化作业，通过目标规划设定、知识和信息传递、技能熟练演练、作业达成评测、结果交流公告等现代信息化的流程，让受训者通过一定的教育训练技术手段，达到预期的水平提高目标，提升战斗力，个人能力，工作能力的训练都称之为培训。</w:t>
      </w:r>
    </w:p>
    <w:p>
      <w:pPr>
        <w:spacing w:after="150"/>
      </w:pPr>
      <w:r>
        <w:rPr/>
        <w:t xml:space="preserve">培训行业研究报告中的培训行业数据分析以权威的国家统计数据为基础，采用宏观和微观相结合的分析方式，利用科学的统计分析方法，在描述行业概貌的同时，对培训行业进行细化分析，重点企业状况等。报告中主要运用图表及表格方式，直观地阐明了行业的经济类型构成、规模构成、经营效益比较、供需状况等，是企业了解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训行业研究单位等公布和提供的大量资料。报告对我国培训行业的供需状况、发展现状、子行业发展变化等进行了分析，重点分析了国内外培训行业的发展现状、如何面对行业的发展挑战、行业的发展建议、行业竞争力，以及行业的投资分析和趋势预测等等。报告还综合了培训行业的整体发展动态，对行业在产品方面提供了参考建议和具体解决办法。报告对于培训产品生产企业、经销商、行业管理部门以及拟进入该行业的投资者具有重要的参考价值，对于研究我国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一、美国培训行业发展分析</w:t>
      </w:r>
    </w:p>
    <w:p>
      <w:pPr>
        <w:spacing w:after="150"/>
      </w:pPr>
      <w:r>
        <w:rPr/>
        <w:t xml:space="preserve">二、欧洲培训行业发展分析</w:t>
      </w:r>
    </w:p>
    <w:p>
      <w:pPr>
        <w:spacing w:after="150"/>
      </w:pPr>
      <w:r>
        <w:rPr/>
        <w:t xml:space="preserve">三、日本培训行业发展分析</w:t>
      </w:r>
    </w:p>
    <w:p>
      <w:pPr>
        <w:spacing w:after="150"/>
      </w:pPr>
      <w:r>
        <w:rPr>
          <w:b w:val="1"/>
          <w:bCs w:val="1"/>
        </w:rPr>
        <w:t xml:space="preserve">第四章 2023年中国培训行业发展现状分析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二、创业黑马(北京)科技股份有限公司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三、上海行动成功教育科技股份有限公司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四、焦点科技股份有限公司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五、广东全通教育股份有限公司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六、珠海世纪鼎利科技股份有限公司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七、中公教育科技股份有限公司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八、开元教育科技集团股份有限公司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九、山东蓝翔技师学院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十、江苏传智播客教育科技股份有限公司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培训行业发展趋势分析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2023年培训行业发展趋势分析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2021-2023年中国培训市场趋势分析</w:t>
      </w:r>
    </w:p>
    <w:p>
      <w:pPr>
        <w:spacing w:after="150"/>
      </w:pPr>
      <w:r>
        <w:rPr/>
        <w:t xml:space="preserve">一、2021-2023年培训市场趋势总结</w:t>
      </w:r>
    </w:p>
    <w:p>
      <w:pPr>
        <w:spacing w:after="150"/>
      </w:pPr>
      <w:r>
        <w:rPr/>
        <w:t xml:space="preserve">二、2021-2023年培训发展趋势分析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第十章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教育培训行业投资效益分析</w:t>
      </w:r>
    </w:p>
    <w:p>
      <w:pPr>
        <w:spacing w:after="150"/>
      </w:pPr>
      <w:r>
        <w:rPr/>
        <w:t xml:space="preserve">一、2021-2023年教育培训行业投资状况分析</w:t>
      </w:r>
    </w:p>
    <w:p>
      <w:pPr>
        <w:spacing w:after="150"/>
      </w:pPr>
      <w:r>
        <w:rPr/>
        <w:t xml:space="preserve">二、2024-2029年教育培训行业投资效益分析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一、2024-2029年影响培训行业运行的有利因素分析</w:t>
      </w:r>
    </w:p>
    <w:p>
      <w:pPr>
        <w:spacing w:after="150"/>
      </w:pPr>
      <w:r>
        <w:rPr/>
        <w:t xml:space="preserve">二、2024-2029年影响培训行业运行的稳定因素分析</w:t>
      </w:r>
    </w:p>
    <w:p>
      <w:pPr>
        <w:spacing w:after="150"/>
      </w:pPr>
      <w:r>
        <w:rPr/>
        <w:t xml:space="preserve">三、2024-2029年影响培训行业运行的不利因素分析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一、2024-2029年培训行业市场风险及控制策略</w:t>
      </w:r>
    </w:p>
    <w:p>
      <w:pPr>
        <w:spacing w:after="150"/>
      </w:pPr>
      <w:r>
        <w:rPr/>
        <w:t xml:space="preserve">二、2024-2029年培训行业政策风险及控制策略</w:t>
      </w:r>
    </w:p>
    <w:p>
      <w:pPr>
        <w:spacing w:after="150"/>
      </w:pPr>
      <w:r>
        <w:rPr/>
        <w:t xml:space="preserve">三、2024-2029年培训行业经营风险及控制策略</w:t>
      </w:r>
    </w:p>
    <w:p>
      <w:pPr>
        <w:spacing w:after="150"/>
      </w:pPr>
      <w:r>
        <w:rPr/>
        <w:t xml:space="preserve">四、2024-2029年培训行业技术风险及控制策略</w:t>
      </w:r>
    </w:p>
    <w:p>
      <w:pPr>
        <w:spacing w:after="150"/>
      </w:pPr>
      <w:r>
        <w:rPr/>
        <w:t xml:space="preserve">五、2024-2029年培训同业竞争风险及控制策略</w:t>
      </w:r>
    </w:p>
    <w:p>
      <w:pPr>
        <w:spacing w:after="150"/>
      </w:pPr>
      <w:r>
        <w:rPr/>
        <w:t xml:space="preserve">六、2024-2029年培训行业其他风险及控制策略</w:t>
      </w:r>
    </w:p>
    <w:p>
      <w:pPr>
        <w:spacing w:after="150"/>
      </w:pPr>
      <w:r>
        <w:rPr>
          <w:b w:val="1"/>
          <w:bCs w:val="1"/>
        </w:rPr>
        <w:t xml:space="preserve">第十二章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附录</w:t>
      </w:r>
    </w:p>
    <w:p>
      <w:pPr>
        <w:spacing w:after="150"/>
      </w:pPr>
      <w:r>
        <w:rPr/>
        <w:t xml:space="preserve">第一节 国家职业教育改革实施方案</w:t>
      </w:r>
    </w:p>
    <w:p>
      <w:pPr>
        <w:spacing w:after="150"/>
      </w:pPr>
      <w:r>
        <w:rPr/>
        <w:t xml:space="preserve">第二节 教育部等十一部门关于促进在线教育健康发展的指导意见</w:t>
      </w:r>
    </w:p>
    <w:p>
      <w:pPr>
        <w:spacing w:after="150"/>
      </w:pPr>
      <w:r>
        <w:rPr/>
        <w:t xml:space="preserve">第三节 教育部关于加强“三个课堂”应用的指导意见</w:t>
      </w:r>
    </w:p>
    <w:p>
      <w:pPr>
        <w:spacing w:after="150"/>
      </w:pPr>
      <w:r>
        <w:rPr/>
        <w:t xml:space="preserve">第四节 《关于进一步减轻义务教育阶段学生作业负担和校外培训负担的意见》</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图表：2021-2023年中国培训市场规模</w:t>
      </w:r>
    </w:p>
    <w:p>
      <w:pPr>
        <w:spacing w:after="150"/>
      </w:pPr>
      <w:r>
        <w:rPr/>
        <w:t xml:space="preserve">图表：2021-2023年我国培训供应情况</w:t>
      </w:r>
    </w:p>
    <w:p>
      <w:pPr>
        <w:spacing w:after="150"/>
      </w:pPr>
      <w:r>
        <w:rPr/>
        <w:t xml:space="preserve">图表：2021-2023年我国培训需求情况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图表：2021-2023年培训市场投资规模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中国培训行业市场深度分析及发展趋势与投资前景研究报告(2024-2029版)</dc:title>
  <dc:description>中国培训行业市场深度分析及发展趋势与投资前景研究报告(2024-2029版)</dc:description>
  <dc:subject>中国培训行业市场深度分析及发展趋势与投资前景研究报告(2024-2029版)</dc:subject>
  <cp:keywords>研究报告</cp:keywords>
  <cp:category>研究报告</cp:category>
  <cp:lastModifiedBy>北京中道泰和信息咨询有限公司</cp:lastModifiedBy>
  <dcterms:created xsi:type="dcterms:W3CDTF">2024-04-17T14:14:46+08:00</dcterms:created>
  <dcterms:modified xsi:type="dcterms:W3CDTF">2024-04-17T14:14:46+08:00</dcterms:modified>
</cp:coreProperties>
</file>

<file path=docProps/custom.xml><?xml version="1.0" encoding="utf-8"?>
<Properties xmlns="http://schemas.openxmlformats.org/officeDocument/2006/custom-properties" xmlns:vt="http://schemas.openxmlformats.org/officeDocument/2006/docPropsVTypes"/>
</file>