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中国主权基金行业市场运行现状及发展趋势与投资前景研究报告(2026-2031版)</w:t>
      </w:r>
    </w:p>
    <w:p>
      <w:pPr>
        <w:spacing w:after="150"/>
      </w:pPr>
      <w:r>
        <w:rPr>
          <w:b w:val="1"/>
          <w:bCs w:val="1"/>
        </w:rPr>
        <w:t xml:space="preserve">报告简介</w:t>
      </w:r>
    </w:p>
    <w:p>
      <w:pPr>
        <w:spacing w:after="150"/>
      </w:pPr>
      <w:r>
        <w:rPr/>
        <w:t xml:space="preserve">主权基金即主权财富基金，由一国或地区政府设立，用于管理国家外汇储备、财政盈余、自然资源出口收入等公共资金，旨在实现财富保值增值，服务国家经济与战略目标。它投资策略多元，资产配置涵盖股票、债券、房地产等多类资产，秉持长期投资导向，战略与财务投资结合。全球知名主权基金如挪威政府全球养老基金、沙特公共投资基金、阿布扎比投资局等。主权基金在全球经济与金融市场作用显著，能稳定金融市场，促进国际投资与经济合作，增强自身市场影响力，深刻影响着全球经济格局与资金流向。</w:t>
      </w:r>
    </w:p>
    <w:p>
      <w:pPr>
        <w:spacing w:after="150"/>
      </w:pPr>
      <w:r>
        <w:rPr/>
        <w:t xml:space="preserve">主权基金行业研究报告主要分析了主权基金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主权基金行业重点企业分析、子行业分析、区域市场分析、行业风险分析、行业发展前景预测及相关的经营、投资建议等。报告研究框架全面、严谨，分析内容客观、公正、系统，真实准确地反映了我国主权基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主权基金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中国主权基金行业概述</w:t>
      </w:r>
    </w:p>
    <w:p>
      <w:pPr>
        <w:spacing w:before="75" w:after="0"/>
      </w:pPr>
      <w:r>
        <w:rPr/>
        <w:t xml:space="preserve">第一节 主权基金定义与全球发展脉络</w:t>
      </w:r>
    </w:p>
    <w:p>
      <w:pPr>
        <w:spacing w:before="75" w:after="0"/>
      </w:pPr>
      <w:r>
        <w:rPr/>
        <w:t xml:space="preserve">第二节 中国主权基金发展历程与阶段特征</w:t>
      </w:r>
    </w:p>
    <w:p>
      <w:pPr>
        <w:spacing w:before="75" w:after="0"/>
      </w:pPr>
      <w:r>
        <w:rPr/>
        <w:t xml:space="preserve">一、外汇储备管理驱动期</w:t>
      </w:r>
    </w:p>
    <w:p>
      <w:pPr>
        <w:spacing w:before="75" w:after="0"/>
      </w:pPr>
      <w:r>
        <w:rPr/>
        <w:t xml:space="preserve">二、“一带一路”战略扩张期</w:t>
      </w:r>
    </w:p>
    <w:p>
      <w:pPr>
        <w:spacing w:before="75" w:after="0"/>
      </w:pPr>
      <w:r>
        <w:rPr/>
        <w:t xml:space="preserve">三、安全与收益平衡转型期</w:t>
      </w:r>
    </w:p>
    <w:p>
      <w:pPr>
        <w:spacing w:before="75" w:after="0"/>
      </w:pPr>
      <w:r>
        <w:rPr/>
        <w:t xml:space="preserve">第三节 全球主权基金竞争格局对比</w:t>
      </w:r>
    </w:p>
    <w:p>
      <w:pPr>
        <w:spacing w:before="75" w:after="0"/>
      </w:pPr>
      <w:r>
        <w:rPr/>
        <w:t xml:space="preserve">一、中东北非资源型基金vs亚洲战略型基金</w:t>
      </w:r>
    </w:p>
    <w:p>
      <w:pPr>
        <w:spacing w:before="75" w:after="0"/>
      </w:pPr>
      <w:r>
        <w:rPr/>
        <w:t xml:space="preserve">二、中国主权基金的差异化定位</w:t>
      </w:r>
    </w:p>
    <w:p>
      <w:pPr>
        <w:spacing w:before="75" w:after="0"/>
      </w:pPr>
      <w:r>
        <w:rPr>
          <w:b w:val="1"/>
          <w:bCs w:val="1"/>
        </w:rPr>
        <w:t xml:space="preserve">第二章 政策环境与“十五五”规划前瞻</w:t>
      </w:r>
    </w:p>
    <w:p>
      <w:pPr>
        <w:spacing w:before="75" w:after="0"/>
      </w:pPr>
      <w:r>
        <w:rPr/>
        <w:t xml:space="preserve">第一节 国家战略对主权基金的导向作用</w:t>
      </w:r>
    </w:p>
    <w:p>
      <w:pPr>
        <w:spacing w:before="75" w:after="0"/>
      </w:pPr>
      <w:r>
        <w:rPr/>
        <w:t xml:space="preserve">第二节 金融开放政策与跨境资本流动试点</w:t>
      </w:r>
    </w:p>
    <w:p>
      <w:pPr>
        <w:spacing w:before="75" w:after="0"/>
      </w:pPr>
      <w:r>
        <w:rPr/>
        <w:t xml:space="preserve">一、自贸区跨境投融资便利化改革</w:t>
      </w:r>
    </w:p>
    <w:p>
      <w:pPr>
        <w:spacing w:before="75" w:after="0"/>
      </w:pPr>
      <w:r>
        <w:rPr/>
        <w:t xml:space="preserve">二、粤港澳大湾区跨境理财通机制联动</w:t>
      </w:r>
    </w:p>
    <w:p>
      <w:pPr>
        <w:spacing w:before="75" w:after="0"/>
      </w:pPr>
      <w:r>
        <w:rPr/>
        <w:t xml:space="preserve">第三节 数据安全法对海外投资的影响</w:t>
      </w:r>
    </w:p>
    <w:p>
      <w:pPr>
        <w:spacing w:before="75" w:after="0"/>
      </w:pPr>
      <w:r>
        <w:rPr/>
        <w:t xml:space="preserve">一、跨境数据流动合规审查机制</w:t>
      </w:r>
    </w:p>
    <w:p>
      <w:pPr>
        <w:spacing w:before="75" w:after="0"/>
      </w:pPr>
      <w:r>
        <w:rPr/>
        <w:t xml:space="preserve">二、敏感技术领域投资的“负面清单”管理</w:t>
      </w:r>
    </w:p>
    <w:p>
      <w:pPr>
        <w:spacing w:before="75" w:after="0"/>
      </w:pPr>
      <w:r>
        <w:rPr>
          <w:b w:val="1"/>
          <w:bCs w:val="1"/>
        </w:rPr>
        <w:t xml:space="preserve">第三章 宏观经济环境与主权基金投资逻辑</w:t>
      </w:r>
    </w:p>
    <w:p>
      <w:pPr>
        <w:spacing w:before="75" w:after="0"/>
      </w:pPr>
      <w:r>
        <w:rPr/>
        <w:t xml:space="preserve">第一节 全球经济格局变动中的风险与机遇</w:t>
      </w:r>
    </w:p>
    <w:p>
      <w:pPr>
        <w:spacing w:before="75" w:after="0"/>
      </w:pPr>
      <w:r>
        <w:rPr/>
        <w:t xml:space="preserve">第二节 全球通胀周期与资产配置策略调整</w:t>
      </w:r>
    </w:p>
    <w:p>
      <w:pPr>
        <w:spacing w:before="75" w:after="0"/>
      </w:pPr>
      <w:r>
        <w:rPr/>
        <w:t xml:space="preserve">一、大宗商品价格波动下的对冲工具创新</w:t>
      </w:r>
    </w:p>
    <w:p>
      <w:pPr>
        <w:spacing w:before="75" w:after="0"/>
      </w:pPr>
      <w:r>
        <w:rPr/>
        <w:t xml:space="preserve">二、美债收益率曲线倒挂的避险路径</w:t>
      </w:r>
    </w:p>
    <w:p>
      <w:pPr>
        <w:spacing w:before="75" w:after="0"/>
      </w:pPr>
      <w:r>
        <w:rPr/>
        <w:t xml:space="preserve">第三节 人口结构变迁与长期投资主题</w:t>
      </w:r>
    </w:p>
    <w:p>
      <w:pPr>
        <w:spacing w:before="75" w:after="0"/>
      </w:pPr>
      <w:r>
        <w:rPr/>
        <w:t xml:space="preserve">一、老龄化社会下的医疗健康产业布局</w:t>
      </w:r>
    </w:p>
    <w:p>
      <w:pPr>
        <w:spacing w:before="75" w:after="0"/>
      </w:pPr>
      <w:r>
        <w:rPr/>
        <w:t xml:space="preserve">二、z世代消费驱动的数字经济新赛道</w:t>
      </w:r>
    </w:p>
    <w:p>
      <w:pPr>
        <w:spacing w:before="75" w:after="0"/>
      </w:pPr>
      <w:r>
        <w:rPr>
          <w:b w:val="1"/>
          <w:bCs w:val="1"/>
        </w:rPr>
        <w:t xml:space="preserve">第四章 主权基金核心投资领域深度解析</w:t>
      </w:r>
    </w:p>
    <w:p>
      <w:pPr>
        <w:spacing w:before="75" w:after="0"/>
      </w:pPr>
      <w:r>
        <w:rPr/>
        <w:t xml:space="preserve">第一节 战略性新兴产业布局</w:t>
      </w:r>
    </w:p>
    <w:p>
      <w:pPr>
        <w:spacing w:before="75" w:after="0"/>
      </w:pPr>
      <w:r>
        <w:rPr/>
        <w:t xml:space="preserve">第二节 传统产业升级与价值链重塑</w:t>
      </w:r>
    </w:p>
    <w:p>
      <w:pPr>
        <w:spacing w:before="75" w:after="0"/>
      </w:pPr>
      <w:r>
        <w:rPr/>
        <w:t xml:space="preserve">一、高端装备制造业跨国并购案例</w:t>
      </w:r>
    </w:p>
    <w:p>
      <w:pPr>
        <w:spacing w:before="75" w:after="0"/>
      </w:pPr>
      <w:r>
        <w:rPr/>
        <w:t xml:space="preserve">二、钢铁、化工行业低碳技改投资机会</w:t>
      </w:r>
    </w:p>
    <w:p>
      <w:pPr>
        <w:spacing w:before="75" w:after="0"/>
      </w:pPr>
      <w:r>
        <w:rPr/>
        <w:t xml:space="preserve">第三节 农业与粮食安全战略投资</w:t>
      </w:r>
    </w:p>
    <w:p>
      <w:pPr>
        <w:spacing w:before="75" w:after="0"/>
      </w:pPr>
      <w:r>
        <w:rPr/>
        <w:t xml:space="preserve">一、国际粮商股权收购与供应链控制</w:t>
      </w:r>
    </w:p>
    <w:p>
      <w:pPr>
        <w:spacing w:before="75" w:after="0"/>
      </w:pPr>
      <w:r>
        <w:rPr/>
        <w:t xml:space="preserve">二、生物育种技术海外专利布局</w:t>
      </w:r>
    </w:p>
    <w:p>
      <w:pPr>
        <w:spacing w:before="75" w:after="0"/>
      </w:pPr>
      <w:r>
        <w:rPr>
          <w:b w:val="1"/>
          <w:bCs w:val="1"/>
        </w:rPr>
        <w:t xml:space="preserve">第五章 风险管理与资产组合优化策略</w:t>
      </w:r>
    </w:p>
    <w:p>
      <w:pPr>
        <w:spacing w:before="75" w:after="0"/>
      </w:pPr>
      <w:r>
        <w:rPr/>
        <w:t xml:space="preserve">第一节 主权基金风控体系创新</w:t>
      </w:r>
    </w:p>
    <w:p>
      <w:pPr>
        <w:spacing w:before="75" w:after="0"/>
      </w:pPr>
      <w:r>
        <w:rPr/>
        <w:t xml:space="preserve">第二节 黑天鹅事件压力测试模型</w:t>
      </w:r>
    </w:p>
    <w:p>
      <w:pPr>
        <w:spacing w:before="75" w:after="0"/>
      </w:pPr>
      <w:r>
        <w:rPr/>
        <w:t xml:space="preserve">一、极端地缘冲突情景模拟</w:t>
      </w:r>
    </w:p>
    <w:p>
      <w:pPr>
        <w:spacing w:before="75" w:after="0"/>
      </w:pPr>
      <w:r>
        <w:rPr/>
        <w:t xml:space="preserve">二、全球疫情再发的供应链断链预案</w:t>
      </w:r>
    </w:p>
    <w:p>
      <w:pPr>
        <w:spacing w:before="75" w:after="0"/>
      </w:pPr>
      <w:r>
        <w:rPr/>
        <w:t xml:space="preserve">第三节 另类资产配置比例优化</w:t>
      </w:r>
    </w:p>
    <w:p>
      <w:pPr>
        <w:spacing w:before="75" w:after="0"/>
      </w:pPr>
      <w:r>
        <w:rPr/>
        <w:t xml:space="preserve">一、私募股权基金份额转让市场参与</w:t>
      </w:r>
    </w:p>
    <w:p>
      <w:pPr>
        <w:spacing w:before="75" w:after="0"/>
      </w:pPr>
      <w:r>
        <w:rPr/>
        <w:t xml:space="preserve">二、艺术品与文化遗产投资的价值发现</w:t>
      </w:r>
    </w:p>
    <w:p>
      <w:pPr>
        <w:spacing w:before="75" w:after="0"/>
      </w:pPr>
      <w:r>
        <w:rPr>
          <w:b w:val="1"/>
          <w:bCs w:val="1"/>
        </w:rPr>
        <w:t xml:space="preserve">第六章 数字技术对主权基金运营的驱动作用</w:t>
      </w:r>
    </w:p>
    <w:p>
      <w:pPr>
        <w:spacing w:before="75" w:after="0"/>
      </w:pPr>
      <w:r>
        <w:rPr/>
        <w:t xml:space="preserve">第一节 数字化转型实践路径</w:t>
      </w:r>
    </w:p>
    <w:p>
      <w:pPr>
        <w:spacing w:before="75" w:after="0"/>
      </w:pPr>
      <w:r>
        <w:rPr/>
        <w:t xml:space="preserve">第二节 量子计算在投资决策中的应用探索</w:t>
      </w:r>
    </w:p>
    <w:p>
      <w:pPr>
        <w:spacing w:before="75" w:after="0"/>
      </w:pPr>
      <w:r>
        <w:rPr/>
        <w:t xml:space="preserve">一、量子加密技术保障跨境结算安全</w:t>
      </w:r>
    </w:p>
    <w:p>
      <w:pPr>
        <w:spacing w:before="75" w:after="0"/>
      </w:pPr>
      <w:r>
        <w:rPr/>
        <w:t xml:space="preserve">二、量子算法优化资产组合模型</w:t>
      </w:r>
    </w:p>
    <w:p>
      <w:pPr>
        <w:spacing w:before="75" w:after="0"/>
      </w:pPr>
      <w:r>
        <w:rPr/>
        <w:t xml:space="preserve">第三节 元宇宙与虚拟资产投资边界</w:t>
      </w:r>
    </w:p>
    <w:p>
      <w:pPr>
        <w:spacing w:before="75" w:after="0"/>
      </w:pPr>
      <w:r>
        <w:rPr/>
        <w:t xml:space="preserve">一、数字主权货币(cbdc)跨境试点</w:t>
      </w:r>
    </w:p>
    <w:p>
      <w:pPr>
        <w:spacing w:before="75" w:after="0"/>
      </w:pPr>
      <w:r>
        <w:rPr/>
        <w:t xml:space="preserve">二、nft在知识产权交易中的合规化应用</w:t>
      </w:r>
    </w:p>
    <w:p>
      <w:pPr>
        <w:spacing w:before="75" w:after="0"/>
      </w:pPr>
      <w:r>
        <w:rPr>
          <w:b w:val="1"/>
          <w:bCs w:val="1"/>
        </w:rPr>
        <w:t xml:space="preserve">第七章 国际主权基金对标分析与经验借鉴</w:t>
      </w:r>
    </w:p>
    <w:p>
      <w:pPr>
        <w:spacing w:before="75" w:after="0"/>
      </w:pPr>
      <w:r>
        <w:rPr/>
        <w:t xml:space="preserve">第一节 全球标杆案例研究</w:t>
      </w:r>
    </w:p>
    <w:p>
      <w:pPr>
        <w:spacing w:before="75" w:after="0"/>
      </w:pPr>
      <w:r>
        <w:rPr/>
        <w:t xml:space="preserve">第二节 欧洲主权基金复苏计划借鉴</w:t>
      </w:r>
    </w:p>
    <w:p>
      <w:pPr>
        <w:spacing w:before="75" w:after="0"/>
      </w:pPr>
      <w:r>
        <w:rPr/>
        <w:t xml:space="preserve">一、欧盟下一代基金(ngeu)的绿色投资框架</w:t>
      </w:r>
    </w:p>
    <w:p>
      <w:pPr>
        <w:spacing w:before="75" w:after="0"/>
      </w:pPr>
      <w:r>
        <w:rPr/>
        <w:t xml:space="preserve">二、英国基础设施银行(ukib)ppp模式</w:t>
      </w:r>
    </w:p>
    <w:p>
      <w:pPr>
        <w:spacing w:before="75" w:after="0"/>
      </w:pPr>
      <w:r>
        <w:rPr/>
        <w:t xml:space="preserve">第三节 拉美资源型基金转型启示</w:t>
      </w:r>
    </w:p>
    <w:p>
      <w:pPr>
        <w:spacing w:before="75" w:after="0"/>
      </w:pPr>
      <w:r>
        <w:rPr/>
        <w:t xml:space="preserve">一、智利铜矿收益基金的社会责任投资转向</w:t>
      </w:r>
    </w:p>
    <w:p>
      <w:pPr>
        <w:spacing w:before="75" w:after="0"/>
      </w:pPr>
      <w:r>
        <w:rPr/>
        <w:t xml:space="preserve">二、巴西主权基金在亚马孙生态保护中的角色</w:t>
      </w:r>
    </w:p>
    <w:p>
      <w:pPr>
        <w:spacing w:before="75" w:after="0"/>
      </w:pPr>
      <w:r>
        <w:rPr>
          <w:b w:val="1"/>
          <w:bCs w:val="1"/>
        </w:rPr>
        <w:t xml:space="preserve">第八章 区域经济协同与主权基金角色</w:t>
      </w:r>
    </w:p>
    <w:p>
      <w:pPr>
        <w:spacing w:before="75" w:after="0"/>
      </w:pPr>
      <w:r>
        <w:rPr/>
        <w:t xml:space="preserve">第一节 粤港澳大湾区跨境资本流动试点</w:t>
      </w:r>
    </w:p>
    <w:p>
      <w:pPr>
        <w:spacing w:before="75" w:after="0"/>
      </w:pPr>
      <w:r>
        <w:rPr/>
        <w:t xml:space="preserve">第二节 长三角一体化与科创投资联动</w:t>
      </w:r>
    </w:p>
    <w:p>
      <w:pPr>
        <w:spacing w:before="75" w:after="0"/>
      </w:pPr>
      <w:r>
        <w:rPr/>
        <w:t xml:space="preserve">一、g60科创走廊专项基金运作机制</w:t>
      </w:r>
    </w:p>
    <w:p>
      <w:pPr>
        <w:spacing w:before="75" w:after="0"/>
      </w:pPr>
      <w:r>
        <w:rPr/>
        <w:t xml:space="preserve">二、自贸试验区离岸债券发行试点</w:t>
      </w:r>
    </w:p>
    <w:p>
      <w:pPr>
        <w:spacing w:before="75" w:after="0"/>
      </w:pPr>
      <w:r>
        <w:rPr/>
        <w:t xml:space="preserve">第三节 西部陆海新通道基建投资</w:t>
      </w:r>
    </w:p>
    <w:p>
      <w:pPr>
        <w:spacing w:before="75" w:after="0"/>
      </w:pPr>
      <w:r>
        <w:rPr/>
        <w:t xml:space="preserve">一、中老铁路经济带产业基金规划</w:t>
      </w:r>
    </w:p>
    <w:p>
      <w:pPr>
        <w:spacing w:before="75" w:after="0"/>
      </w:pPr>
      <w:r>
        <w:rPr/>
        <w:t xml:space="preserve">二、成渝双城经济圈跨境投融资平台</w:t>
      </w:r>
    </w:p>
    <w:p>
      <w:pPr>
        <w:spacing w:before="75" w:after="0"/>
      </w:pPr>
      <w:r>
        <w:rPr>
          <w:b w:val="1"/>
          <w:bCs w:val="1"/>
        </w:rPr>
        <w:t xml:space="preserve">第九章 esg投资框架与主权基金责任转型</w:t>
      </w:r>
    </w:p>
    <w:p>
      <w:pPr>
        <w:spacing w:before="75" w:after="0"/>
      </w:pPr>
      <w:r>
        <w:rPr/>
        <w:t xml:space="preserve">第一节 中国esg评价体系本土化实践</w:t>
      </w:r>
    </w:p>
    <w:p>
      <w:pPr>
        <w:spacing w:before="75" w:after="0"/>
      </w:pPr>
      <w:r>
        <w:rPr/>
        <w:t xml:space="preserve">第二节 生物多样性保护投资实践</w:t>
      </w:r>
    </w:p>
    <w:p>
      <w:pPr>
        <w:spacing w:before="75" w:after="0"/>
      </w:pPr>
      <w:r>
        <w:rPr/>
        <w:t xml:space="preserve">一、《昆明-蒙特利尔框架》履约路径</w:t>
      </w:r>
    </w:p>
    <w:p>
      <w:pPr>
        <w:spacing w:before="75" w:after="0"/>
      </w:pPr>
      <w:r>
        <w:rPr/>
        <w:t xml:space="preserve">二、红树林碳汇交易机制参与策略</w:t>
      </w:r>
    </w:p>
    <w:p>
      <w:pPr>
        <w:spacing w:before="75" w:after="0"/>
      </w:pPr>
      <w:r>
        <w:rPr/>
        <w:t xml:space="preserve">第三节 性别平等与包容性金融</w:t>
      </w:r>
    </w:p>
    <w:p>
      <w:pPr>
        <w:spacing w:before="75" w:after="0"/>
      </w:pPr>
      <w:r>
        <w:rPr/>
        <w:t xml:space="preserve">一、“她基金”在发展中国家小微金融中的实践</w:t>
      </w:r>
    </w:p>
    <w:p>
      <w:pPr>
        <w:spacing w:before="75" w:after="0"/>
      </w:pPr>
      <w:r>
        <w:rPr/>
        <w:t xml:space="preserve">二、董事会多元化治理指标纳入投资决策</w:t>
      </w:r>
    </w:p>
    <w:p>
      <w:pPr>
        <w:spacing w:before="75" w:after="0"/>
      </w:pPr>
      <w:r>
        <w:rPr>
          <w:b w:val="1"/>
          <w:bCs w:val="1"/>
        </w:rPr>
        <w:t xml:space="preserve">第十章 新兴领域投资机遇与风险预警</w:t>
      </w:r>
    </w:p>
    <w:p>
      <w:pPr>
        <w:spacing w:before="75" w:after="0"/>
      </w:pPr>
      <w:r>
        <w:rPr/>
        <w:t xml:space="preserve">第一节 太空经济与深海资源开发</w:t>
      </w:r>
    </w:p>
    <w:p>
      <w:pPr>
        <w:spacing w:before="75" w:after="0"/>
      </w:pPr>
      <w:r>
        <w:rPr/>
        <w:t xml:space="preserve">第二节 合成生物学技术产业化投资</w:t>
      </w:r>
    </w:p>
    <w:p>
      <w:pPr>
        <w:spacing w:before="75" w:after="0"/>
      </w:pPr>
      <w:r>
        <w:rPr/>
        <w:t xml:space="preserve">一、人工蛋白质合成的农业应用场景</w:t>
      </w:r>
    </w:p>
    <w:p>
      <w:pPr>
        <w:spacing w:before="75" w:after="0"/>
      </w:pPr>
      <w:r>
        <w:rPr/>
        <w:t xml:space="preserve">二、基因编辑技术专利壁垒突破路径</w:t>
      </w:r>
    </w:p>
    <w:p>
      <w:pPr>
        <w:spacing w:before="75" w:after="0"/>
      </w:pPr>
      <w:r>
        <w:rPr/>
        <w:t xml:space="preserve">第三节 极端气候应对技术投资</w:t>
      </w:r>
    </w:p>
    <w:p>
      <w:pPr>
        <w:spacing w:before="75" w:after="0"/>
      </w:pPr>
      <w:r>
        <w:rPr/>
        <w:t xml:space="preserve">一、沙漠光伏制氢产业链跨国合作</w:t>
      </w:r>
    </w:p>
    <w:p>
      <w:pPr>
        <w:spacing w:before="75" w:after="0"/>
      </w:pPr>
      <w:r>
        <w:rPr/>
        <w:t xml:space="preserve">二、气候灾害保险衍生品工具创新</w:t>
      </w:r>
    </w:p>
    <w:p>
      <w:pPr>
        <w:spacing w:before="75" w:after="0"/>
      </w:pPr>
      <w:r>
        <w:rPr>
          <w:b w:val="1"/>
          <w:bCs w:val="1"/>
        </w:rPr>
        <w:t xml:space="preserve">第十一章 监管体系改革与合规化发展</w:t>
      </w:r>
    </w:p>
    <w:p>
      <w:pPr>
        <w:spacing w:before="75" w:after="0"/>
      </w:pPr>
      <w:r>
        <w:rPr/>
        <w:t xml:space="preserve">第一节 跨境资本流动监管升级</w:t>
      </w:r>
    </w:p>
    <w:p>
      <w:pPr>
        <w:spacing w:before="75" w:after="0"/>
      </w:pPr>
      <w:r>
        <w:rPr/>
        <w:t xml:space="preserve">第二节 美国《外国公司问责法》应对策略</w:t>
      </w:r>
    </w:p>
    <w:p>
      <w:pPr>
        <w:spacing w:before="75" w:after="0"/>
      </w:pPr>
      <w:r>
        <w:rPr/>
        <w:t xml:space="preserve">一、中概股私有化退市资金回流路径</w:t>
      </w:r>
    </w:p>
    <w:p>
      <w:pPr>
        <w:spacing w:before="75" w:after="0"/>
      </w:pPr>
      <w:r>
        <w:rPr/>
        <w:t xml:space="preserve">二、香港国际金融中心特殊作用强化</w:t>
      </w:r>
    </w:p>
    <w:p>
      <w:pPr>
        <w:spacing w:before="75" w:after="0"/>
      </w:pPr>
      <w:r>
        <w:rPr/>
        <w:t xml:space="preserve">第三节 反制裁工具箱的资本维度</w:t>
      </w:r>
    </w:p>
    <w:p>
      <w:pPr>
        <w:spacing w:before="75" w:after="0"/>
      </w:pPr>
      <w:r>
        <w:rPr/>
        <w:t xml:space="preserve">一、不可靠实体清单与对等投资限制</w:t>
      </w:r>
    </w:p>
    <w:p>
      <w:pPr>
        <w:spacing w:before="75" w:after="0"/>
      </w:pPr>
      <w:r>
        <w:rPr/>
        <w:t xml:space="preserve">二、人民币跨境支付系统(cips)突围路径</w:t>
      </w:r>
    </w:p>
    <w:p>
      <w:pPr>
        <w:spacing w:before="75" w:after="0"/>
      </w:pPr>
      <w:r>
        <w:rPr>
          <w:b w:val="1"/>
          <w:bCs w:val="1"/>
        </w:rPr>
        <w:t xml:space="preserve">第十二章 2026-2031年行业趋势前瞻</w:t>
      </w:r>
    </w:p>
    <w:p>
      <w:pPr>
        <w:spacing w:before="75" w:after="0"/>
      </w:pPr>
      <w:r>
        <w:rPr/>
        <w:t xml:space="preserve">第一节 主权基金功能拓展方向</w:t>
      </w:r>
    </w:p>
    <w:p>
      <w:pPr>
        <w:spacing w:before="75" w:after="0"/>
      </w:pPr>
      <w:r>
        <w:rPr/>
        <w:t xml:space="preserve">第二节 主权财富网络化协作机制</w:t>
      </w:r>
    </w:p>
    <w:p>
      <w:pPr>
        <w:spacing w:before="75" w:after="0"/>
      </w:pPr>
      <w:r>
        <w:rPr/>
        <w:t xml:space="preserve">一、金砖国家应急储备安排深化</w:t>
      </w:r>
    </w:p>
    <w:p>
      <w:pPr>
        <w:spacing w:before="75" w:after="0"/>
      </w:pPr>
      <w:r>
        <w:rPr/>
        <w:t xml:space="preserve">二、多边开发银行联合融资平台</w:t>
      </w:r>
    </w:p>
    <w:p>
      <w:pPr>
        <w:spacing w:before="75" w:after="0"/>
      </w:pPr>
      <w:r>
        <w:rPr/>
        <w:t xml:space="preserve">第三节 数字时代主权博弈新形态</w:t>
      </w:r>
    </w:p>
    <w:p>
      <w:pPr>
        <w:spacing w:before="75" w:after="0"/>
      </w:pPr>
      <w:r>
        <w:rPr/>
        <w:t xml:space="preserve">一、跨境数字货币结算体系话语权争夺</w:t>
      </w:r>
    </w:p>
    <w:p>
      <w:pPr>
        <w:spacing w:before="75" w:after="0"/>
      </w:pPr>
      <w:r>
        <w:rPr/>
        <w:t xml:space="preserve">二、全球算力资源战略投资布局</w:t>
      </w:r>
    </w:p>
    <w:p>
      <w:pPr>
        <w:spacing w:before="75" w:after="0"/>
      </w:pPr>
      <w:r>
        <w:rPr>
          <w:b w:val="1"/>
          <w:bCs w:val="1"/>
        </w:rPr>
        <w:t xml:space="preserve">图表目录</w:t>
      </w:r>
    </w:p>
    <w:p>
      <w:pPr>
        <w:spacing w:before="75" w:after="0"/>
      </w:pPr>
      <w:r>
        <w:rPr/>
        <w:t xml:space="preserve">图表：全球主权基金区域竞争格局四象限矩阵</w:t>
      </w:r>
    </w:p>
    <w:p>
      <w:pPr>
        <w:spacing w:before="75" w:after="0"/>
      </w:pPr>
      <w:r>
        <w:rPr/>
        <w:t xml:space="preserve">图表：中国自贸区跨境资本政策试点对比热力图</w:t>
      </w:r>
    </w:p>
    <w:p>
      <w:pPr>
        <w:spacing w:before="75" w:after="0"/>
      </w:pPr>
      <w:r>
        <w:rPr/>
        <w:t xml:space="preserve">图表：粮食安全领域跨国并购案例地图</w:t>
      </w:r>
    </w:p>
    <w:p>
      <w:pPr>
        <w:spacing w:before="75" w:after="0"/>
      </w:pPr>
      <w:r>
        <w:rPr/>
        <w:t xml:space="preserve">图表：另类资产配置比例国际对比气泡图</w:t>
      </w:r>
    </w:p>
    <w:p>
      <w:pPr>
        <w:spacing w:before="75" w:after="0"/>
      </w:pPr>
      <w:r>
        <w:rPr/>
        <w:t xml:space="preserve">图表：元宇宙技术成熟度曲线与投资窗口预判</w:t>
      </w:r>
    </w:p>
    <w:p>
      <w:pPr>
        <w:spacing w:before="75" w:after="0"/>
      </w:pPr>
      <w:r>
        <w:rPr/>
        <w:t xml:space="preserve">图表：欧洲绿色复苏基金项目分布桑基图</w:t>
      </w:r>
    </w:p>
    <w:p>
      <w:pPr>
        <w:spacing w:before="75" w:after="0"/>
      </w:pPr>
      <w:r>
        <w:rPr/>
        <w:t xml:space="preserve">图表：西部陆海新通道基建投资关键节点图</w:t>
      </w:r>
    </w:p>
    <w:p>
      <w:pPr>
        <w:spacing w:before="75" w:after="0"/>
      </w:pPr>
      <w:r>
        <w:rPr/>
        <w:t xml:space="preserve">图表：数字货币跨境结算体系竞争格局力场分析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本文地址：https://www.51baogao.cn/baogao/20250321/2979887.shtml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7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中国主权基金行业市场运行现状及发展趋势与投资前景研究报告(2026-2031版)</dc:title>
  <dc:description>中国主权基金行业市场运行现状及发展趋势与投资前景研究报告(2026-2031版)</dc:description>
  <dc:subject>中国主权基金行业市场运行现状及发展趋势与投资前景研究报告(2026-2031版)</dc:subject>
  <cp:keywords>研究报告</cp:keywords>
  <cp:category>研究报告</cp:category>
  <cp:lastModifiedBy>北京中道泰和信息咨询有限公司</cp:lastModifiedBy>
  <dcterms:created xsi:type="dcterms:W3CDTF">2026-04-08T16:11:18+08:00</dcterms:created>
  <dcterms:modified xsi:type="dcterms:W3CDTF">2026-04-08T16:11:18+08:00</dcterms:modified>
</cp:coreProperties>
</file>

<file path=docProps/custom.xml><?xml version="1.0" encoding="utf-8"?>
<Properties xmlns="http://schemas.openxmlformats.org/officeDocument/2006/custom-properties" xmlns:vt="http://schemas.openxmlformats.org/officeDocument/2006/docPropsVTypes"/>
</file>