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中国慢性病药物行业市场运行态势及竞争格局与投资潜力研究报告(2026-2031版)</w:t>
      </w:r>
    </w:p>
    <w:p>
      <w:pPr>
        <w:spacing w:after="150"/>
      </w:pPr>
      <w:r>
        <w:rPr>
          <w:b w:val="1"/>
          <w:bCs w:val="1"/>
        </w:rPr>
        <w:t xml:space="preserve">报告简介</w:t>
      </w:r>
    </w:p>
    <w:p>
      <w:pPr>
        <w:spacing w:after="150"/>
      </w:pPr>
      <w:r>
        <w:rPr/>
        <w:t xml:space="preserve">慢性病药物行业是以治疗心脑血管疾病、糖尿病、慢性呼吸系统疾病等长期性、非传染性疾病为核心的医药细分领域，涵盖化学药、生物药及中药等多元产品体系的研发、生产与流通。行业的发展与人口老龄化进程、疾病谱系变迁及公共卫生政策深度绑定，既是医疗健康产业的“压舱石”，亦是创新技术转化的价值高地。</w:t>
      </w:r>
    </w:p>
    <w:p>
      <w:pPr>
        <w:spacing w:after="150"/>
      </w:pPr>
      <w:r>
        <w:rPr/>
        <w:t xml:space="preserve">未来五年，慢性病药物行业将呈现“技术驱动+政策红利+需求扩容”三重增长逻辑：一方面，AI辅助药物研发、新型给药系统等技术突破将加速创新药上市;另一方面，医保支付改革与中医药现代化政策将持续释放市场潜力。与此同时，基层医疗需求崛起与互联网医疗的深度融合，或将重构传统药物流通模式，催生慢病管理的数字化生态。行业整体将向精准化、个性化及全周期管理方向演进，形成跨国药企、本土龙头与跨界势力竞合的新蓝海。</w:t>
      </w:r>
    </w:p>
    <w:p>
      <w:pPr>
        <w:spacing w:after="150"/>
      </w:pPr>
      <w:r>
        <w:rPr/>
        <w:t xml:space="preserve">慢性病药物行业研究报告主要分析了慢性病药物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慢性病药物行业重点企业分析、子行业分析、区域市场分析、行业风险分析、行业发展前景预测及相关的经营、投资建议等。报告研究框架全面、严谨，分析内容客观、公正、系统，真实准确地反映了我国慢性病药物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慢性病药物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慢性病药物行业概述</w:t>
      </w:r>
    </w:p>
    <w:p>
      <w:pPr>
        <w:spacing w:before="75" w:after="0"/>
      </w:pPr>
      <w:r>
        <w:rPr/>
        <w:t xml:space="preserve">第一节 慢性病定义与分类</w:t>
      </w:r>
    </w:p>
    <w:p>
      <w:pPr>
        <w:spacing w:before="75" w:after="0"/>
      </w:pPr>
      <w:r>
        <w:rPr/>
        <w:t xml:space="preserve">一、心脑血管疾病药物市场界定</w:t>
      </w:r>
    </w:p>
    <w:p>
      <w:pPr>
        <w:spacing w:before="75" w:after="0"/>
      </w:pPr>
      <w:r>
        <w:rPr/>
        <w:t xml:space="preserve">二、糖尿病药物技术路径分析</w:t>
      </w:r>
    </w:p>
    <w:p>
      <w:pPr>
        <w:spacing w:before="75" w:after="0"/>
      </w:pPr>
      <w:r>
        <w:rPr/>
        <w:t xml:space="preserve">三、呼吸系统慢性病药物研发趋势</w:t>
      </w:r>
    </w:p>
    <w:p>
      <w:pPr>
        <w:spacing w:before="75" w:after="0"/>
      </w:pPr>
      <w:r>
        <w:rPr/>
        <w:t xml:space="preserve">第二节 行业生命周期与发展特征</w:t>
      </w:r>
    </w:p>
    <w:p>
      <w:pPr>
        <w:spacing w:before="75" w:after="0"/>
      </w:pPr>
      <w:r>
        <w:rPr/>
        <w:t xml:space="preserve">一、政策驱动下的市场扩容阶段</w:t>
      </w:r>
    </w:p>
    <w:p>
      <w:pPr>
        <w:spacing w:before="75" w:after="0"/>
      </w:pPr>
      <w:r>
        <w:rPr/>
        <w:t xml:space="preserve">二、创新药与仿制药竞争格局演变</w:t>
      </w:r>
    </w:p>
    <w:p>
      <w:pPr>
        <w:spacing w:before="75" w:after="0"/>
      </w:pPr>
      <w:r>
        <w:rPr/>
        <w:t xml:space="preserve">第三节 行业技术标准与监管框架</w:t>
      </w:r>
    </w:p>
    <w:p>
      <w:pPr>
        <w:spacing w:before="75" w:after="0"/>
      </w:pPr>
      <w:r>
        <w:rPr/>
        <w:t xml:space="preserve">一、化药与生物药审评审批差异</w:t>
      </w:r>
    </w:p>
    <w:p>
      <w:pPr>
        <w:spacing w:before="75" w:after="0"/>
      </w:pPr>
      <w:r>
        <w:rPr/>
        <w:t xml:space="preserve">二、中药经典名方开发规范</w:t>
      </w:r>
    </w:p>
    <w:p>
      <w:pPr>
        <w:spacing w:before="75" w:after="0"/>
      </w:pPr>
      <w:r>
        <w:rPr>
          <w:b w:val="1"/>
          <w:bCs w:val="1"/>
        </w:rPr>
        <w:t xml:space="preserve">第二章 政策环境与行业监管动态</w:t>
      </w:r>
    </w:p>
    <w:p>
      <w:pPr>
        <w:spacing w:before="75" w:after="0"/>
      </w:pPr>
      <w:r>
        <w:rPr/>
        <w:t xml:space="preserve">第一节 国家层面政策支持</w:t>
      </w:r>
    </w:p>
    <w:p>
      <w:pPr>
        <w:spacing w:before="75" w:after="0"/>
      </w:pPr>
      <w:r>
        <w:rPr/>
        <w:t xml:space="preserve">一、《“健康中国2030”规划纲要》对慢病管理的战略定位</w:t>
      </w:r>
    </w:p>
    <w:p>
      <w:pPr>
        <w:spacing w:before="75" w:after="0"/>
      </w:pPr>
      <w:r>
        <w:rPr/>
        <w:t xml:space="preserve">二、医保目录调整对创新药准入的影响</w:t>
      </w:r>
    </w:p>
    <w:p>
      <w:pPr>
        <w:spacing w:before="75" w:after="0"/>
      </w:pPr>
      <w:r>
        <w:rPr/>
        <w:t xml:space="preserve">第二节 地方性慢性病防治规划</w:t>
      </w:r>
    </w:p>
    <w:p>
      <w:pPr>
        <w:spacing w:before="75" w:after="0"/>
      </w:pPr>
      <w:r>
        <w:rPr/>
        <w:t xml:space="preserve">一、基层医疗机构的药物配备政策</w:t>
      </w:r>
    </w:p>
    <w:p>
      <w:pPr>
        <w:spacing w:before="75" w:after="0"/>
      </w:pPr>
      <w:r>
        <w:rPr/>
        <w:t xml:space="preserve">二、互联网医疗在慢病管理中的应用规范</w:t>
      </w:r>
    </w:p>
    <w:p>
      <w:pPr>
        <w:spacing w:before="75" w:after="0"/>
      </w:pPr>
      <w:r>
        <w:rPr/>
        <w:t xml:space="preserve">第三节 国际贸易与合规挑战</w:t>
      </w:r>
    </w:p>
    <w:p>
      <w:pPr>
        <w:spacing w:before="75" w:after="0"/>
      </w:pPr>
      <w:r>
        <w:rPr/>
        <w:t xml:space="preserve">一、原料药出口管制对产业链影响</w:t>
      </w:r>
    </w:p>
    <w:p>
      <w:pPr>
        <w:spacing w:before="75" w:after="0"/>
      </w:pPr>
      <w:r>
        <w:rPr/>
        <w:t xml:space="preserve">二、ich标准接轨进展</w:t>
      </w:r>
    </w:p>
    <w:p>
      <w:pPr>
        <w:spacing w:before="75" w:after="0"/>
      </w:pPr>
      <w:r>
        <w:rPr>
          <w:b w:val="1"/>
          <w:bCs w:val="1"/>
        </w:rPr>
        <w:t xml:space="preserve">第三章 慢性病药物市场规模与结构</w:t>
      </w:r>
    </w:p>
    <w:p>
      <w:pPr>
        <w:spacing w:before="75" w:after="0"/>
      </w:pPr>
      <w:r>
        <w:rPr/>
        <w:t xml:space="preserve">第一节 整体市场规模增长驱动因素</w:t>
      </w:r>
    </w:p>
    <w:p>
      <w:pPr>
        <w:spacing w:before="75" w:after="0"/>
      </w:pPr>
      <w:r>
        <w:rPr/>
        <w:t xml:space="preserve">一、老龄化加速与疾病谱变化</w:t>
      </w:r>
    </w:p>
    <w:p>
      <w:pPr>
        <w:spacing w:before="75" w:after="0"/>
      </w:pPr>
      <w:r>
        <w:rPr/>
        <w:t xml:space="preserve">二、基层医疗需求释放</w:t>
      </w:r>
    </w:p>
    <w:p>
      <w:pPr>
        <w:spacing w:before="75" w:after="0"/>
      </w:pPr>
      <w:r>
        <w:rPr/>
        <w:t xml:space="preserve">第二节 细分领域市场占比</w:t>
      </w:r>
    </w:p>
    <w:p>
      <w:pPr>
        <w:spacing w:before="75" w:after="0"/>
      </w:pPr>
      <w:r>
        <w:rPr/>
        <w:t xml:space="preserve">一、口服降糖药vs胰岛素类似物</w:t>
      </w:r>
    </w:p>
    <w:p>
      <w:pPr>
        <w:spacing w:before="75" w:after="0"/>
      </w:pPr>
      <w:r>
        <w:rPr/>
        <w:t xml:space="preserve">二、抗肿瘤慢性病辅助用药市场</w:t>
      </w:r>
    </w:p>
    <w:p>
      <w:pPr>
        <w:spacing w:before="75" w:after="0"/>
      </w:pPr>
      <w:r>
        <w:rPr/>
        <w:t xml:space="preserve">第三节 区域消费结构差异</w:t>
      </w:r>
    </w:p>
    <w:p>
      <w:pPr>
        <w:spacing w:before="75" w:after="0"/>
      </w:pPr>
      <w:r>
        <w:rPr/>
        <w:t xml:space="preserve">一、东部沿海城市高端用药需求</w:t>
      </w:r>
    </w:p>
    <w:p>
      <w:pPr>
        <w:spacing w:before="75" w:after="0"/>
      </w:pPr>
      <w:r>
        <w:rPr/>
        <w:t xml:space="preserve">二、中西部基层市场渗透率提升</w:t>
      </w:r>
    </w:p>
    <w:p>
      <w:pPr>
        <w:spacing w:before="75" w:after="0"/>
      </w:pPr>
      <w:r>
        <w:rPr>
          <w:b w:val="1"/>
          <w:bCs w:val="1"/>
        </w:rPr>
        <w:t xml:space="preserve">第四章 产业链全景与价值分布</w:t>
      </w:r>
    </w:p>
    <w:p>
      <w:pPr>
        <w:spacing w:before="75" w:after="0"/>
      </w:pPr>
      <w:r>
        <w:rPr/>
        <w:t xml:space="preserve">第一节 上游原料药供应格局</w:t>
      </w:r>
    </w:p>
    <w:p>
      <w:pPr>
        <w:spacing w:before="75" w:after="0"/>
      </w:pPr>
      <w:r>
        <w:rPr/>
        <w:t xml:space="preserve">一、特色原料药企业技术壁垒</w:t>
      </w:r>
    </w:p>
    <w:p>
      <w:pPr>
        <w:spacing w:before="75" w:after="0"/>
      </w:pPr>
      <w:r>
        <w:rPr/>
        <w:t xml:space="preserve">二、生物类似药cdmo模式兴起</w:t>
      </w:r>
    </w:p>
    <w:p>
      <w:pPr>
        <w:spacing w:before="75" w:after="0"/>
      </w:pPr>
      <w:r>
        <w:rPr/>
        <w:t xml:space="preserve">第二节 中游生产与流通环节</w:t>
      </w:r>
    </w:p>
    <w:p>
      <w:pPr>
        <w:spacing w:before="75" w:after="0"/>
      </w:pPr>
      <w:r>
        <w:rPr/>
        <w:t xml:space="preserve">一、mah制度对产业集中度的影响</w:t>
      </w:r>
    </w:p>
    <w:p>
      <w:pPr>
        <w:spacing w:before="75" w:after="0"/>
      </w:pPr>
      <w:r>
        <w:rPr/>
        <w:t xml:space="preserve">二、dtp药房在慢病管理中的角色</w:t>
      </w:r>
    </w:p>
    <w:p>
      <w:pPr>
        <w:spacing w:before="75" w:after="0"/>
      </w:pPr>
      <w:r>
        <w:rPr/>
        <w:t xml:space="preserve">第三节 下游终端市场拓展</w:t>
      </w:r>
    </w:p>
    <w:p>
      <w:pPr>
        <w:spacing w:before="75" w:after="0"/>
      </w:pPr>
      <w:r>
        <w:rPr/>
        <w:t xml:space="preserve">一、社区卫生服务中心用药下沉</w:t>
      </w:r>
    </w:p>
    <w:p>
      <w:pPr>
        <w:spacing w:before="75" w:after="0"/>
      </w:pPr>
      <w:r>
        <w:rPr/>
        <w:t xml:space="preserve">二、零售药店慢病管理服务升级</w:t>
      </w:r>
    </w:p>
    <w:p>
      <w:pPr>
        <w:spacing w:before="75" w:after="0"/>
      </w:pPr>
      <w:r>
        <w:rPr>
          <w:b w:val="1"/>
          <w:bCs w:val="1"/>
        </w:rPr>
        <w:t xml:space="preserve">第五章 竞争格局与企业战略分析</w:t>
      </w:r>
    </w:p>
    <w:p>
      <w:pPr>
        <w:spacing w:before="75" w:after="0"/>
      </w:pPr>
      <w:r>
        <w:rPr/>
        <w:t xml:space="preserve">第一节 跨国药企本土化策略</w:t>
      </w:r>
    </w:p>
    <w:p>
      <w:pPr>
        <w:spacing w:before="75" w:after="0"/>
      </w:pPr>
      <w:r>
        <w:rPr/>
        <w:t xml:space="preserve">一、原研药专利悬崖后的市场防御</w:t>
      </w:r>
    </w:p>
    <w:p>
      <w:pPr>
        <w:spacing w:before="75" w:after="0"/>
      </w:pPr>
      <w:r>
        <w:rPr/>
        <w:t xml:space="preserve">二、与本土企业合作开发创新剂型</w:t>
      </w:r>
    </w:p>
    <w:p>
      <w:pPr>
        <w:spacing w:before="75" w:after="0"/>
      </w:pPr>
      <w:r>
        <w:rPr/>
        <w:t xml:space="preserve">第二节 本土龙头企业的差异化路径</w:t>
      </w:r>
    </w:p>
    <w:p>
      <w:pPr>
        <w:spacing w:before="75" w:after="0"/>
      </w:pPr>
      <w:r>
        <w:rPr/>
        <w:t xml:space="preserve">一、恒瑞医药</w:t>
      </w:r>
    </w:p>
    <w:p>
      <w:pPr>
        <w:spacing w:before="75" w:after="0"/>
      </w:pPr>
      <w:r>
        <w:rPr/>
        <w:t xml:space="preserve">二、石药集团</w:t>
      </w:r>
    </w:p>
    <w:p>
      <w:pPr>
        <w:spacing w:before="75" w:after="0"/>
      </w:pPr>
      <w:r>
        <w:rPr>
          <w:b w:val="1"/>
          <w:bCs w:val="1"/>
        </w:rPr>
        <w:t xml:space="preserve">第六章 典型企业战略与创新实践</w:t>
      </w:r>
    </w:p>
    <w:p>
      <w:pPr>
        <w:spacing w:before="75" w:after="0"/>
      </w:pPr>
      <w:r>
        <w:rPr/>
        <w:t xml:space="preserve">第一节 跨国药企在华布局</w:t>
      </w:r>
    </w:p>
    <w:p>
      <w:pPr>
        <w:spacing w:before="75" w:after="0"/>
      </w:pPr>
      <w:r>
        <w:rPr/>
        <w:t xml:space="preserve">一、辉瑞制药：心血管疾病领域深度渗透</w:t>
      </w:r>
    </w:p>
    <w:p>
      <w:pPr>
        <w:spacing w:before="75" w:after="0"/>
      </w:pPr>
      <w:r>
        <w:rPr/>
        <w:t xml:space="preserve">二、诺华制药：呼吸系统慢病药物创新</w:t>
      </w:r>
    </w:p>
    <w:p>
      <w:pPr>
        <w:spacing w:before="75" w:after="0"/>
      </w:pPr>
      <w:r>
        <w:rPr/>
        <w:t xml:space="preserve">第二节 本土龙头企业转型升级</w:t>
      </w:r>
    </w:p>
    <w:p>
      <w:pPr>
        <w:spacing w:before="75" w:after="0"/>
      </w:pPr>
      <w:r>
        <w:rPr/>
        <w:t xml:space="preserve">一、恒瑞医药：肿瘤慢病化治疗布局</w:t>
      </w:r>
    </w:p>
    <w:p>
      <w:pPr>
        <w:spacing w:before="75" w:after="0"/>
      </w:pPr>
      <w:r>
        <w:rPr/>
        <w:t xml:space="preserve">二、石药集团：纳米技术平台突破</w:t>
      </w:r>
    </w:p>
    <w:p>
      <w:pPr>
        <w:spacing w:before="75" w:after="0"/>
      </w:pPr>
      <w:r>
        <w:rPr/>
        <w:t xml:space="preserve">第三节 biotech企业创新突围</w:t>
      </w:r>
    </w:p>
    <w:p>
      <w:pPr>
        <w:spacing w:before="75" w:after="0"/>
      </w:pPr>
      <w:r>
        <w:rPr/>
        <w:t xml:space="preserve">一、百济神州：全球化研发体系构建</w:t>
      </w:r>
    </w:p>
    <w:p>
      <w:pPr>
        <w:spacing w:before="75" w:after="0"/>
      </w:pPr>
      <w:r>
        <w:rPr/>
        <w:t xml:space="preserve">二、信达生物：代谢性疾病领域深耕</w:t>
      </w:r>
    </w:p>
    <w:p>
      <w:pPr>
        <w:spacing w:before="75" w:after="0"/>
      </w:pPr>
      <w:r>
        <w:rPr/>
        <w:t xml:space="preserve">第四节 传统中药企业现代化实践</w:t>
      </w:r>
    </w:p>
    <w:p>
      <w:pPr>
        <w:spacing w:before="75" w:after="0"/>
      </w:pPr>
      <w:r>
        <w:rPr>
          <w:b w:val="1"/>
          <w:bCs w:val="1"/>
        </w:rPr>
        <w:t xml:space="preserve">第七章 区域市场发展差异</w:t>
      </w:r>
    </w:p>
    <w:p>
      <w:pPr>
        <w:spacing w:before="75" w:after="0"/>
      </w:pPr>
      <w:r>
        <w:rPr/>
        <w:t xml:space="preserve">第一节 东部沿海地区高端市场特征</w:t>
      </w:r>
    </w:p>
    <w:p>
      <w:pPr>
        <w:spacing w:before="75" w:after="0"/>
      </w:pPr>
      <w:r>
        <w:rPr/>
        <w:t xml:space="preserve">一、上海、北京创新药准入政策试点</w:t>
      </w:r>
    </w:p>
    <w:p>
      <w:pPr>
        <w:spacing w:before="75" w:after="0"/>
      </w:pPr>
      <w:r>
        <w:rPr/>
        <w:t xml:space="preserve">二、粤港澳大湾区跨境医疗合作</w:t>
      </w:r>
    </w:p>
    <w:p>
      <w:pPr>
        <w:spacing w:before="75" w:after="0"/>
      </w:pPr>
      <w:r>
        <w:rPr/>
        <w:t xml:space="preserve">第二节 中西部基层市场潜力</w:t>
      </w:r>
    </w:p>
    <w:p>
      <w:pPr>
        <w:spacing w:before="75" w:after="0"/>
      </w:pPr>
      <w:r>
        <w:rPr/>
        <w:t xml:space="preserve">一、县域医共体带量采购执行难点</w:t>
      </w:r>
    </w:p>
    <w:p>
      <w:pPr>
        <w:spacing w:before="75" w:after="0"/>
      </w:pPr>
      <w:r>
        <w:rPr/>
        <w:t xml:space="preserve">二、民族药在慢性病领域的开发机遇</w:t>
      </w:r>
    </w:p>
    <w:p>
      <w:pPr>
        <w:spacing w:before="75" w:after="0"/>
      </w:pPr>
      <w:r>
        <w:rPr/>
        <w:t xml:space="preserve">第三节 东北地区产业转型挑战</w:t>
      </w:r>
    </w:p>
    <w:p>
      <w:pPr>
        <w:spacing w:before="75" w:after="0"/>
      </w:pPr>
      <w:r>
        <w:rPr/>
        <w:t xml:space="preserve">一、传统药企仿制药产能过剩问题</w:t>
      </w:r>
    </w:p>
    <w:p>
      <w:pPr>
        <w:spacing w:before="75" w:after="0"/>
      </w:pPr>
      <w:r>
        <w:rPr/>
        <w:t xml:space="preserve">二、政策扶持下的创新药孵化尝试</w:t>
      </w:r>
    </w:p>
    <w:p>
      <w:pPr>
        <w:spacing w:before="75" w:after="0"/>
      </w:pPr>
      <w:r>
        <w:rPr>
          <w:b w:val="1"/>
          <w:bCs w:val="1"/>
        </w:rPr>
        <w:t xml:space="preserve">第八章 技术创新与研发趋势</w:t>
      </w:r>
    </w:p>
    <w:p>
      <w:pPr>
        <w:spacing w:before="75" w:after="0"/>
      </w:pPr>
      <w:r>
        <w:rPr/>
        <w:t xml:space="preserve">第一节 靶向治疗技术突破</w:t>
      </w:r>
    </w:p>
    <w:p>
      <w:pPr>
        <w:spacing w:before="75" w:after="0"/>
      </w:pPr>
      <w:r>
        <w:rPr/>
        <w:t xml:space="preserve">第二节 人工智能驱动研发</w:t>
      </w:r>
    </w:p>
    <w:p>
      <w:pPr>
        <w:spacing w:before="75" w:after="0"/>
      </w:pPr>
      <w:r>
        <w:rPr/>
        <w:t xml:space="preserve">第三节 新型给药系统开发</w:t>
      </w:r>
    </w:p>
    <w:p>
      <w:pPr>
        <w:spacing w:before="75" w:after="0"/>
      </w:pPr>
      <w:r>
        <w:rPr/>
        <w:t xml:space="preserve">一、透皮贴剂在疼痛管理中的应用</w:t>
      </w:r>
    </w:p>
    <w:p>
      <w:pPr>
        <w:spacing w:before="75" w:after="0"/>
      </w:pPr>
      <w:r>
        <w:rPr/>
        <w:t xml:space="preserve">二、口服多肽药物技术突破</w:t>
      </w:r>
    </w:p>
    <w:p>
      <w:pPr>
        <w:spacing w:before="75" w:after="0"/>
      </w:pPr>
      <w:r>
        <w:rPr>
          <w:b w:val="1"/>
          <w:bCs w:val="1"/>
        </w:rPr>
        <w:t xml:space="preserve">第九章 互联网医疗对行业的重塑</w:t>
      </w:r>
    </w:p>
    <w:p>
      <w:pPr>
        <w:spacing w:before="75" w:after="0"/>
      </w:pPr>
      <w:r>
        <w:rPr/>
        <w:t xml:space="preserve">第一节 线上处方流转模式</w:t>
      </w:r>
    </w:p>
    <w:p>
      <w:pPr>
        <w:spacing w:before="75" w:after="0"/>
      </w:pPr>
      <w:r>
        <w:rPr/>
        <w:t xml:space="preserve">一、电子处方平台与医保支付对接</w:t>
      </w:r>
    </w:p>
    <w:p>
      <w:pPr>
        <w:spacing w:before="75" w:after="0"/>
      </w:pPr>
      <w:r>
        <w:rPr/>
        <w:t xml:space="preserve">二、慢病复诊患者的粘性运营</w:t>
      </w:r>
    </w:p>
    <w:p>
      <w:pPr>
        <w:spacing w:before="75" w:after="0"/>
      </w:pPr>
      <w:r>
        <w:rPr/>
        <w:t xml:space="preserve">第二节 智能健康监测设备联动</w:t>
      </w:r>
    </w:p>
    <w:p>
      <w:pPr>
        <w:spacing w:before="75" w:after="0"/>
      </w:pPr>
      <w:r>
        <w:rPr/>
        <w:t xml:space="preserve">一、可穿戴设备与用药依从性管理</w:t>
      </w:r>
    </w:p>
    <w:p>
      <w:pPr>
        <w:spacing w:before="75" w:after="0"/>
      </w:pPr>
      <w:r>
        <w:rPr/>
        <w:t xml:space="preserve">二、大数据预警系统的疾病干预</w:t>
      </w:r>
    </w:p>
    <w:p>
      <w:pPr>
        <w:spacing w:before="75" w:after="0"/>
      </w:pPr>
      <w:r>
        <w:rPr/>
        <w:t xml:space="preserve">第三节 互联网医院生态构建</w:t>
      </w:r>
    </w:p>
    <w:p>
      <w:pPr>
        <w:spacing w:before="75" w:after="0"/>
      </w:pPr>
      <w:r>
        <w:rPr/>
        <w:t xml:space="preserve">一、医生多点执业政策落地影响</w:t>
      </w:r>
    </w:p>
    <w:p>
      <w:pPr>
        <w:spacing w:before="75" w:after="0"/>
      </w:pPr>
      <w:r>
        <w:rPr/>
        <w:t xml:space="preserve">二、线上线下融合的慢病管理模式</w:t>
      </w:r>
    </w:p>
    <w:p>
      <w:pPr>
        <w:spacing w:before="75" w:after="0"/>
      </w:pPr>
      <w:r>
        <w:rPr>
          <w:b w:val="1"/>
          <w:bCs w:val="1"/>
        </w:rPr>
        <w:t xml:space="preserve">第十章 中医药在慢性病领域的现代化</w:t>
      </w:r>
    </w:p>
    <w:p>
      <w:pPr>
        <w:spacing w:before="75" w:after="0"/>
      </w:pPr>
      <w:r>
        <w:rPr/>
        <w:t xml:space="preserve">第一节 经典名方二次开发</w:t>
      </w:r>
    </w:p>
    <w:p>
      <w:pPr>
        <w:spacing w:before="75" w:after="0"/>
      </w:pPr>
      <w:r>
        <w:rPr/>
        <w:t xml:space="preserve">一、中药循证医学研究体系构建</w:t>
      </w:r>
    </w:p>
    <w:p>
      <w:pPr>
        <w:spacing w:before="75" w:after="0"/>
      </w:pPr>
      <w:r>
        <w:rPr/>
        <w:t xml:space="preserve">二、针灸疗法国际标准化进程</w:t>
      </w:r>
    </w:p>
    <w:p>
      <w:pPr>
        <w:spacing w:before="75" w:after="0"/>
      </w:pPr>
      <w:r>
        <w:rPr/>
        <w:t xml:space="preserve">第二节 中西医结合治疗模式</w:t>
      </w:r>
    </w:p>
    <w:p>
      <w:pPr>
        <w:spacing w:before="75" w:after="0"/>
      </w:pPr>
      <w:r>
        <w:rPr/>
        <w:t xml:space="preserve">一、肿瘤放化疗后中药减毒方案</w:t>
      </w:r>
    </w:p>
    <w:p>
      <w:pPr>
        <w:spacing w:before="75" w:after="0"/>
      </w:pPr>
      <w:r>
        <w:rPr/>
        <w:t xml:space="preserve">二、代谢综合征综合调理路径</w:t>
      </w:r>
    </w:p>
    <w:p>
      <w:pPr>
        <w:spacing w:before="75" w:after="0"/>
      </w:pPr>
      <w:r>
        <w:rPr/>
        <w:t xml:space="preserve">第三节 中药国际化挑战</w:t>
      </w:r>
    </w:p>
    <w:p>
      <w:pPr>
        <w:spacing w:before="75" w:after="0"/>
      </w:pPr>
      <w:r>
        <w:rPr/>
        <w:t xml:space="preserve">一、欧美市场准入标准差异</w:t>
      </w:r>
    </w:p>
    <w:p>
      <w:pPr>
        <w:spacing w:before="75" w:after="0"/>
      </w:pPr>
      <w:r>
        <w:rPr/>
        <w:t xml:space="preserve">二、海外临床试验数据互认障碍</w:t>
      </w:r>
    </w:p>
    <w:p>
      <w:pPr>
        <w:spacing w:before="75" w:after="0"/>
      </w:pPr>
      <w:r>
        <w:rPr>
          <w:b w:val="1"/>
          <w:bCs w:val="1"/>
        </w:rPr>
        <w:t xml:space="preserve">第十一章 资本市场动态与投融资热点</w:t>
      </w:r>
    </w:p>
    <w:p>
      <w:pPr>
        <w:spacing w:before="75" w:after="0"/>
      </w:pPr>
      <w:r>
        <w:rPr/>
        <w:t xml:space="preserve">第一节 创新药企ipo表现分析</w:t>
      </w:r>
    </w:p>
    <w:p>
      <w:pPr>
        <w:spacing w:before="75" w:after="0"/>
      </w:pPr>
      <w:r>
        <w:rPr/>
        <w:t xml:space="preserve">第二节 并购重组案例研究</w:t>
      </w:r>
    </w:p>
    <w:p>
      <w:pPr>
        <w:spacing w:before="75" w:after="0"/>
      </w:pPr>
      <w:r>
        <w:rPr/>
        <w:t xml:space="preserve">第三节 风险投资热点领域</w:t>
      </w:r>
    </w:p>
    <w:p>
      <w:pPr>
        <w:spacing w:before="75" w:after="0"/>
      </w:pPr>
      <w:r>
        <w:rPr>
          <w:b w:val="1"/>
          <w:bCs w:val="1"/>
        </w:rPr>
        <w:t xml:space="preserve">第十二章 行业风险与挑战</w:t>
      </w:r>
    </w:p>
    <w:p>
      <w:pPr>
        <w:spacing w:before="75" w:after="0"/>
      </w:pPr>
      <w:r>
        <w:rPr/>
        <w:t xml:space="preserve">第一节 政策不确定性风险</w:t>
      </w:r>
    </w:p>
    <w:p>
      <w:pPr>
        <w:spacing w:before="75" w:after="0"/>
      </w:pPr>
      <w:r>
        <w:rPr/>
        <w:t xml:space="preserve">第二节 技术替代性风险</w:t>
      </w:r>
    </w:p>
    <w:p>
      <w:pPr>
        <w:spacing w:before="75" w:after="0"/>
      </w:pPr>
      <w:r>
        <w:rPr/>
        <w:t xml:space="preserve">一、细胞治疗对传统药物的潜在颠覆</w:t>
      </w:r>
    </w:p>
    <w:p>
      <w:pPr>
        <w:spacing w:before="75" w:after="0"/>
      </w:pPr>
      <w:r>
        <w:rPr/>
        <w:t xml:space="preserve">二、数字疗法对药物市场的分流效应</w:t>
      </w:r>
    </w:p>
    <w:p>
      <w:pPr>
        <w:spacing w:before="75" w:after="0"/>
      </w:pPr>
      <w:r>
        <w:rPr/>
        <w:t xml:space="preserve">第三节 市场竞争加剧风险</w:t>
      </w:r>
    </w:p>
    <w:p>
      <w:pPr>
        <w:spacing w:before="75" w:after="0"/>
      </w:pPr>
      <w:r>
        <w:rPr/>
        <w:t xml:space="preserve">一、仿制药价格战持续升级</w:t>
      </w:r>
    </w:p>
    <w:p>
      <w:pPr>
        <w:spacing w:before="75" w:after="0"/>
      </w:pPr>
      <w:r>
        <w:rPr/>
        <w:t xml:space="preserve">二、创新药同质化内卷现象</w:t>
      </w:r>
    </w:p>
    <w:p>
      <w:pPr>
        <w:spacing w:before="75" w:after="0"/>
      </w:pPr>
      <w:r>
        <w:rPr>
          <w:b w:val="1"/>
          <w:bCs w:val="1"/>
        </w:rPr>
        <w:t xml:space="preserve">第十三章 十五五规划前瞻与战略建议</w:t>
      </w:r>
    </w:p>
    <w:p>
      <w:pPr>
        <w:spacing w:before="75" w:after="0"/>
      </w:pPr>
      <w:r>
        <w:rPr/>
        <w:t xml:space="preserve">第一节 国家战略导向预判</w:t>
      </w:r>
    </w:p>
    <w:p>
      <w:pPr>
        <w:spacing w:before="75" w:after="0"/>
      </w:pPr>
      <w:r>
        <w:rPr/>
        <w:t xml:space="preserve">一、重大慢病早筛早诊纳入公共卫生项目</w:t>
      </w:r>
    </w:p>
    <w:p>
      <w:pPr>
        <w:spacing w:before="75" w:after="0"/>
      </w:pPr>
      <w:r>
        <w:rPr/>
        <w:t xml:space="preserve">二、中医药“治未病”体系强化</w:t>
      </w:r>
    </w:p>
    <w:p>
      <w:pPr>
        <w:spacing w:before="75" w:after="0"/>
      </w:pPr>
      <w:r>
        <w:rPr/>
        <w:t xml:space="preserve">第二节 企业转型升级路径</w:t>
      </w:r>
    </w:p>
    <w:p>
      <w:pPr>
        <w:spacing w:before="75" w:after="0"/>
      </w:pPr>
      <w:r>
        <w:rPr/>
        <w:t xml:space="preserve">一、差异化适应症选择策略</w:t>
      </w:r>
    </w:p>
    <w:p>
      <w:pPr>
        <w:spacing w:before="75" w:after="0"/>
      </w:pPr>
      <w:r>
        <w:rPr/>
        <w:t xml:space="preserve">二、全球化临床开发资源整合</w:t>
      </w:r>
    </w:p>
    <w:p>
      <w:pPr>
        <w:spacing w:before="75" w:after="0"/>
      </w:pPr>
      <w:r>
        <w:rPr/>
        <w:t xml:space="preserve">第三节 产业链协同发展建议</w:t>
      </w:r>
    </w:p>
    <w:p>
      <w:pPr>
        <w:spacing w:before="75" w:after="0"/>
      </w:pPr>
      <w:r>
        <w:rPr/>
        <w:t xml:space="preserve">一、原料药-制剂一体化布局优化</w:t>
      </w:r>
    </w:p>
    <w:p>
      <w:pPr>
        <w:spacing w:before="75" w:after="0"/>
      </w:pPr>
      <w:r>
        <w:rPr/>
        <w:t xml:space="preserve">二、医工结合模式下的产品创新</w:t>
      </w:r>
    </w:p>
    <w:p>
      <w:pPr>
        <w:spacing w:before="75" w:after="0"/>
      </w:pPr>
      <w:r>
        <w:rPr>
          <w:b w:val="1"/>
          <w:bCs w:val="1"/>
        </w:rPr>
        <w:t xml:space="preserve">图表目录</w:t>
      </w:r>
    </w:p>
    <w:p>
      <w:pPr>
        <w:spacing w:before="75" w:after="0"/>
      </w:pPr>
      <w:r>
        <w:rPr/>
        <w:t xml:space="preserve">图表：中国慢性病疾病谱演变趋势</w:t>
      </w:r>
    </w:p>
    <w:p>
      <w:pPr>
        <w:spacing w:before="75" w:after="0"/>
      </w:pPr>
      <w:r>
        <w:rPr/>
        <w:t xml:space="preserve">图表：国家与地方慢性病政策对比及实施效果</w:t>
      </w:r>
    </w:p>
    <w:p>
      <w:pPr>
        <w:spacing w:before="75" w:after="0"/>
      </w:pPr>
      <w:r>
        <w:rPr/>
        <w:t xml:space="preserve">图表：糖尿病药物细分市场增长预测</w:t>
      </w:r>
    </w:p>
    <w:p>
      <w:pPr>
        <w:spacing w:before="75" w:after="0"/>
      </w:pPr>
      <w:r>
        <w:rPr/>
        <w:t xml:space="preserve">图表：慢性病药物产业链价值分布图谱</w:t>
      </w:r>
    </w:p>
    <w:p>
      <w:pPr>
        <w:spacing w:before="75" w:after="0"/>
      </w:pPr>
      <w:r>
        <w:rPr/>
        <w:t xml:space="preserve">图表：跨国药企与本土企业战略合作典型案例</w:t>
      </w:r>
    </w:p>
    <w:p>
      <w:pPr>
        <w:spacing w:before="75" w:after="0"/>
      </w:pPr>
      <w:r>
        <w:rPr/>
        <w:t xml:space="preserve">图表：五类企业研发投入占比对比</w:t>
      </w:r>
    </w:p>
    <w:p>
      <w:pPr>
        <w:spacing w:before="75" w:after="0"/>
      </w:pPr>
      <w:r>
        <w:rPr/>
        <w:t xml:space="preserve">图表：跨国与本土企业慢性病管线数量统计</w:t>
      </w:r>
    </w:p>
    <w:p>
      <w:pPr>
        <w:spacing w:before="75" w:after="0"/>
      </w:pPr>
      <w:r>
        <w:rPr/>
        <w:t xml:space="preserve">图表：典型企业区域市场覆盖率热力图</w:t>
      </w:r>
    </w:p>
    <w:p>
      <w:pPr>
        <w:spacing w:before="75" w:after="0"/>
      </w:pPr>
      <w:r>
        <w:rPr/>
        <w:t xml:space="preserve">图表：创新中药品种医保准入时间表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本文地址：https://www.51baogao.cn/baogao/20250321/2979923.shtml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321/2979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中国慢性病药物行业市场运行态势及竞争格局与投资潜力研究报告(2026-2031版)</dc:title>
  <dc:description>中国慢性病药物行业市场运行态势及竞争格局与投资潜力研究报告(2026-2031版)</dc:description>
  <dc:subject>中国慢性病药物行业市场运行态势及竞争格局与投资潜力研究报告(2026-2031版)</dc:subject>
  <cp:keywords>研究报告</cp:keywords>
  <cp:category>研究报告</cp:category>
  <cp:lastModifiedBy>北京中道泰和信息咨询有限公司</cp:lastModifiedBy>
  <dcterms:created xsi:type="dcterms:W3CDTF">2026-04-08T16:12:10+08:00</dcterms:created>
  <dcterms:modified xsi:type="dcterms:W3CDTF">2026-04-08T16:12:10+08:00</dcterms:modified>
</cp:coreProperties>
</file>

<file path=docProps/custom.xml><?xml version="1.0" encoding="utf-8"?>
<Properties xmlns="http://schemas.openxmlformats.org/officeDocument/2006/custom-properties" xmlns:vt="http://schemas.openxmlformats.org/officeDocument/2006/docPropsVTypes"/>
</file>