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中国老年大学行业市场运行现状及发展趋势与投资前景研究报告(2026-2031版)</w:t>
      </w:r>
    </w:p>
    <w:p>
      <w:pPr>
        <w:spacing w:after="150"/>
      </w:pPr>
      <w:r>
        <w:rPr>
          <w:b w:val="1"/>
          <w:bCs w:val="1"/>
        </w:rPr>
        <w:t xml:space="preserve">报告简介</w:t>
      </w:r>
    </w:p>
    <w:p>
      <w:pPr>
        <w:spacing w:after="150"/>
      </w:pPr>
      <w:r>
        <w:rPr/>
        <w:t xml:space="preserve">老年大学行业是以满足老年人终身学习需求为核心，通过系统化课程、社交活动及文化体验服务，助力老年人实现知识更新、技能提升和精神充实的教育细分领域。其服务范围涵盖文化艺术、健康养生、科技应用、再就业培训等多维度内容，既包括政府主导的公立老年大学，也涵盖民营机构、社区学堂及在线教育平台等多元化形态。行业以“积极老龄化”为核心理念，旨在打破年龄壁垒，推动老年群体社会参与和自我价值实现，成为银发经济中文化养老的重要组成部分。</w:t>
      </w:r>
    </w:p>
    <w:p>
      <w:pPr>
        <w:spacing w:after="150"/>
      </w:pPr>
      <w:r>
        <w:rPr/>
        <w:t xml:space="preserve">在人口老龄化加速、政策红利释放及老年群体消费升级的驱动下，中国老年大学行业将迎来黄金发展期。政策层面，“十四五”老龄事业规划明确支持老年教育普惠化，地方政府通过财政补贴、场地支持等举措扩大服务覆盖;市场需求层面，老年人从“生存型养老”向“发展型养老”转变，对精神文化、社交归属及再就业能力提升的需求持续攀升;技术层面，线上线下融合(OMO)模式将重塑教学场景，5G、AI、VR等技术助力课程个性化和服务下沉。未来五年，行业将呈现“普惠性与高端化并存”“区域连锁化与社区嵌入双轨推进”的发展格局，但师资专业化、课程标准化及可持续商业模式仍需突破。</w:t>
      </w:r>
    </w:p>
    <w:p>
      <w:pPr>
        <w:spacing w:after="150"/>
      </w:pPr>
      <w:r>
        <w:rPr/>
        <w:t xml:space="preserve">老年大学行业研究报告主要分析了老年大学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老年大学行业重点企业分析、子行业分析、区域市场分析、行业风险分析、行业发展前景预测及相关的经营、投资建议等。报告研究框架全面、严谨，分析内容客观、公正、系统，真实准确地反映了我国老年大学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老年大学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报告编制背景与目标</w:t>
      </w:r>
    </w:p>
    <w:p>
      <w:pPr>
        <w:spacing w:before="75" w:after="0"/>
      </w:pPr>
      <w:r>
        <w:rPr/>
        <w:t xml:space="preserve">第一节 研究背景及意义</w:t>
      </w:r>
    </w:p>
    <w:p>
      <w:pPr>
        <w:spacing w:before="75" w:after="0"/>
      </w:pPr>
      <w:r>
        <w:rPr/>
        <w:t xml:space="preserve">一、老龄化社会与终身学习需求升级</w:t>
      </w:r>
    </w:p>
    <w:p>
      <w:pPr>
        <w:spacing w:before="75" w:after="0"/>
      </w:pPr>
      <w:r>
        <w:rPr/>
        <w:t xml:space="preserve">二、老年教育纳入“积极老龄化”国家战略</w:t>
      </w:r>
    </w:p>
    <w:p>
      <w:pPr>
        <w:spacing w:before="75" w:after="0"/>
      </w:pPr>
      <w:r>
        <w:rPr/>
        <w:t xml:space="preserve">第二节 研究方法与数据来源</w:t>
      </w:r>
    </w:p>
    <w:p>
      <w:pPr>
        <w:spacing w:before="75" w:after="0"/>
      </w:pPr>
      <w:r>
        <w:rPr/>
        <w:t xml:space="preserve">一、政策文件与行业白皮书分析</w:t>
      </w:r>
    </w:p>
    <w:p>
      <w:pPr>
        <w:spacing w:before="75" w:after="0"/>
      </w:pPr>
      <w:r>
        <w:rPr/>
        <w:t xml:space="preserve">二、全国老年大学实地调研样本选取</w:t>
      </w:r>
    </w:p>
    <w:p>
      <w:pPr>
        <w:spacing w:before="75" w:after="0"/>
      </w:pPr>
      <w:r>
        <w:rPr/>
        <w:t xml:space="preserve">第三节 报告核心价值</w:t>
      </w:r>
    </w:p>
    <w:p>
      <w:pPr>
        <w:spacing w:before="75" w:after="0"/>
      </w:pPr>
      <w:r>
        <w:rPr/>
        <w:t xml:space="preserve">一、投资者决策支持</w:t>
      </w:r>
    </w:p>
    <w:p>
      <w:pPr>
        <w:spacing w:before="75" w:after="0"/>
      </w:pPr>
      <w:r>
        <w:rPr/>
        <w:t xml:space="preserve">二、机构运营战略优化</w:t>
      </w:r>
    </w:p>
    <w:p>
      <w:pPr>
        <w:spacing w:before="75" w:after="0"/>
      </w:pPr>
      <w:r>
        <w:rPr>
          <w:b w:val="1"/>
          <w:bCs w:val="1"/>
        </w:rPr>
        <w:t xml:space="preserve">第二章 老年大学行业定义与分类</w:t>
      </w:r>
    </w:p>
    <w:p>
      <w:pPr>
        <w:spacing w:before="75" w:after="0"/>
      </w:pPr>
      <w:r>
        <w:rPr/>
        <w:t xml:space="preserve">第一节 行业定义与服务边界</w:t>
      </w:r>
    </w:p>
    <w:p>
      <w:pPr>
        <w:spacing w:before="75" w:after="0"/>
      </w:pPr>
      <w:r>
        <w:rPr/>
        <w:t xml:space="preserve">一、老年教育与传统职业教育的差异</w:t>
      </w:r>
    </w:p>
    <w:p>
      <w:pPr>
        <w:spacing w:before="75" w:after="0"/>
      </w:pPr>
      <w:r>
        <w:rPr/>
        <w:t xml:space="preserve">二、服务内容：文化课程、技能培训、社交活动</w:t>
      </w:r>
    </w:p>
    <w:p>
      <w:pPr>
        <w:spacing w:before="75" w:after="0"/>
      </w:pPr>
      <w:r>
        <w:rPr/>
        <w:t xml:space="preserve">第二节 机构类型与运营模式</w:t>
      </w:r>
    </w:p>
    <w:p>
      <w:pPr>
        <w:spacing w:before="75" w:after="0"/>
      </w:pPr>
      <w:r>
        <w:rPr/>
        <w:t xml:space="preserve">一、公立老年大学(如中国老年大学协会成员)</w:t>
      </w:r>
    </w:p>
    <w:p>
      <w:pPr>
        <w:spacing w:before="75" w:after="0"/>
      </w:pPr>
      <w:r>
        <w:rPr/>
        <w:t xml:space="preserve">二、民营社区老年学堂</w:t>
      </w:r>
    </w:p>
    <w:p>
      <w:pPr>
        <w:spacing w:before="75" w:after="0"/>
      </w:pPr>
      <w:r>
        <w:rPr/>
        <w:t xml:space="preserve">三、在线教育平台(如“糖豆”中老年社群)</w:t>
      </w:r>
    </w:p>
    <w:p>
      <w:pPr>
        <w:spacing w:before="75" w:after="0"/>
      </w:pPr>
      <w:r>
        <w:rPr>
          <w:b w:val="1"/>
          <w:bCs w:val="1"/>
        </w:rPr>
        <w:t xml:space="preserve">第三章 政策环境与“十五五”规划前瞻</w:t>
      </w:r>
    </w:p>
    <w:p>
      <w:pPr>
        <w:spacing w:before="75" w:after="0"/>
      </w:pPr>
      <w:r>
        <w:rPr/>
        <w:t xml:space="preserve">第一节 国家政策支持方向</w:t>
      </w:r>
    </w:p>
    <w:p>
      <w:pPr>
        <w:spacing w:before="75" w:after="0"/>
      </w:pPr>
      <w:r>
        <w:rPr/>
        <w:t xml:space="preserve">一、《“十四五”国家老龄事业发展规划》重点解读</w:t>
      </w:r>
    </w:p>
    <w:p>
      <w:pPr>
        <w:spacing w:before="75" w:after="0"/>
      </w:pPr>
      <w:r>
        <w:rPr/>
        <w:t xml:space="preserve">二、教育部“智慧助老”专项行动计划</w:t>
      </w:r>
    </w:p>
    <w:p>
      <w:pPr>
        <w:spacing w:before="75" w:after="0"/>
      </w:pPr>
      <w:r>
        <w:rPr/>
        <w:t xml:space="preserve">第二节 地方创新实践案例</w:t>
      </w:r>
    </w:p>
    <w:p>
      <w:pPr>
        <w:spacing w:before="75" w:after="0"/>
      </w:pPr>
      <w:r>
        <w:rPr/>
        <w:t xml:space="preserve">一、上海“长者学堂”全域覆盖模式</w:t>
      </w:r>
    </w:p>
    <w:p>
      <w:pPr>
        <w:spacing w:before="75" w:after="0"/>
      </w:pPr>
      <w:r>
        <w:rPr/>
        <w:t xml:space="preserve">二、成都老年大学与社区养老中心联动试点</w:t>
      </w:r>
    </w:p>
    <w:p>
      <w:pPr>
        <w:spacing w:before="75" w:after="0"/>
      </w:pPr>
      <w:r>
        <w:rPr/>
        <w:t xml:space="preserve">第三节 政策趋势预判</w:t>
      </w:r>
    </w:p>
    <w:p>
      <w:pPr>
        <w:spacing w:before="75" w:after="0"/>
      </w:pPr>
      <w:r>
        <w:rPr/>
        <w:t xml:space="preserve">一、老年教育纳入公共服务体系可能性</w:t>
      </w:r>
    </w:p>
    <w:p>
      <w:pPr>
        <w:spacing w:before="75" w:after="0"/>
      </w:pPr>
      <w:r>
        <w:rPr/>
        <w:t xml:space="preserve">二、社会资本准入标准与补贴机制优化</w:t>
      </w:r>
    </w:p>
    <w:p>
      <w:pPr>
        <w:spacing w:before="75" w:after="0"/>
      </w:pPr>
      <w:r>
        <w:rPr>
          <w:b w:val="1"/>
          <w:bCs w:val="1"/>
        </w:rPr>
        <w:t xml:space="preserve">第四章 市场需求与用户画像分析</w:t>
      </w:r>
    </w:p>
    <w:p>
      <w:pPr>
        <w:spacing w:before="75" w:after="0"/>
      </w:pPr>
      <w:r>
        <w:rPr/>
        <w:t xml:space="preserve">第一节 需求驱动因素</w:t>
      </w:r>
    </w:p>
    <w:p>
      <w:pPr>
        <w:spacing w:before="75" w:after="0"/>
      </w:pPr>
      <w:r>
        <w:rPr/>
        <w:t xml:space="preserve">一、老年群体精神消费升级</w:t>
      </w:r>
    </w:p>
    <w:p>
      <w:pPr>
        <w:spacing w:before="75" w:after="0"/>
      </w:pPr>
      <w:r>
        <w:rPr/>
        <w:t xml:space="preserve">二、空巢老人社交需求激增</w:t>
      </w:r>
    </w:p>
    <w:p>
      <w:pPr>
        <w:spacing w:before="75" w:after="0"/>
      </w:pPr>
      <w:r>
        <w:rPr/>
        <w:t xml:space="preserve">第二节 用户行为特征</w:t>
      </w:r>
    </w:p>
    <w:p>
      <w:pPr>
        <w:spacing w:before="75" w:after="0"/>
      </w:pPr>
      <w:r>
        <w:rPr/>
        <w:t xml:space="preserve">一、课程偏好分层(健康管理vs艺术兴趣)</w:t>
      </w:r>
    </w:p>
    <w:p>
      <w:pPr>
        <w:spacing w:before="75" w:after="0"/>
      </w:pPr>
      <w:r>
        <w:rPr/>
        <w:t xml:space="preserve">二、线上线下融合学习趋势</w:t>
      </w:r>
    </w:p>
    <w:p>
      <w:pPr>
        <w:spacing w:before="75" w:after="0"/>
      </w:pPr>
      <w:r>
        <w:rPr/>
        <w:t xml:space="preserve">第三节 潜在需求挖掘</w:t>
      </w:r>
    </w:p>
    <w:p>
      <w:pPr>
        <w:spacing w:before="75" w:after="0"/>
      </w:pPr>
      <w:r>
        <w:rPr/>
        <w:t xml:space="preserve">一、再就业技能培训需求觉醒</w:t>
      </w:r>
    </w:p>
    <w:p>
      <w:pPr>
        <w:spacing w:before="75" w:after="0"/>
      </w:pPr>
      <w:r>
        <w:rPr/>
        <w:t xml:space="preserve">二、高净值老年人群定制化服务</w:t>
      </w:r>
    </w:p>
    <w:p>
      <w:pPr>
        <w:spacing w:before="75" w:after="0"/>
      </w:pPr>
      <w:r>
        <w:rPr>
          <w:b w:val="1"/>
          <w:bCs w:val="1"/>
        </w:rPr>
        <w:t xml:space="preserve">第五章 供给结构与竞争格局</w:t>
      </w:r>
    </w:p>
    <w:p>
      <w:pPr>
        <w:spacing w:before="75" w:after="0"/>
      </w:pPr>
      <w:r>
        <w:rPr/>
        <w:t xml:space="preserve">第一节 市场参与主体分类</w:t>
      </w:r>
    </w:p>
    <w:p>
      <w:pPr>
        <w:spacing w:before="75" w:after="0"/>
      </w:pPr>
      <w:r>
        <w:rPr/>
        <w:t xml:space="preserve">一、政府主导型老年大学</w:t>
      </w:r>
    </w:p>
    <w:p>
      <w:pPr>
        <w:spacing w:before="75" w:after="0"/>
      </w:pPr>
      <w:r>
        <w:rPr/>
        <w:t xml:space="preserve">二、民营连锁教育品牌(如“美好盛年”)</w:t>
      </w:r>
    </w:p>
    <w:p>
      <w:pPr>
        <w:spacing w:before="75" w:after="0"/>
      </w:pPr>
      <w:r>
        <w:rPr/>
        <w:t xml:space="preserve">三、跨界企业布局(如保险公司、地产公司)</w:t>
      </w:r>
    </w:p>
    <w:p>
      <w:pPr>
        <w:spacing w:before="75" w:after="0"/>
      </w:pPr>
      <w:r>
        <w:rPr/>
        <w:t xml:space="preserve">第二节 区域竞争差异</w:t>
      </w:r>
    </w:p>
    <w:p>
      <w:pPr>
        <w:spacing w:before="75" w:after="0"/>
      </w:pPr>
      <w:r>
        <w:rPr/>
        <w:t xml:space="preserve">一、一线城市供给饱和与内容同质化</w:t>
      </w:r>
    </w:p>
    <w:p>
      <w:pPr>
        <w:spacing w:before="75" w:after="0"/>
      </w:pPr>
      <w:r>
        <w:rPr/>
        <w:t xml:space="preserve">二、下沉市场基础设施缺口</w:t>
      </w:r>
    </w:p>
    <w:p>
      <w:pPr>
        <w:spacing w:before="75" w:after="0"/>
      </w:pPr>
      <w:r>
        <w:rPr>
          <w:b w:val="1"/>
          <w:bCs w:val="1"/>
        </w:rPr>
        <w:t xml:space="preserve">第六章 重点企业深度剖析</w:t>
      </w:r>
    </w:p>
    <w:p>
      <w:pPr>
        <w:spacing w:before="75" w:after="0"/>
      </w:pPr>
      <w:r>
        <w:rPr/>
        <w:t xml:space="preserve">第一节 公立老年大学代表</w:t>
      </w:r>
    </w:p>
    <w:p>
      <w:pPr>
        <w:spacing w:before="75" w:after="0"/>
      </w:pPr>
      <w:r>
        <w:rPr/>
        <w:t xml:space="preserve">一、中国老年大学协会(全国性标杆)</w:t>
      </w:r>
    </w:p>
    <w:p>
      <w:pPr>
        <w:spacing w:before="75" w:after="0"/>
      </w:pPr>
      <w:r>
        <w:rPr/>
        <w:t xml:space="preserve">(一)政策背书与标准化课程输出</w:t>
      </w:r>
    </w:p>
    <w:p>
      <w:pPr>
        <w:spacing w:before="75" w:after="0"/>
      </w:pPr>
      <w:r>
        <w:rPr/>
        <w:t xml:space="preserve">(二)市场化运营能力不足的挑战</w:t>
      </w:r>
    </w:p>
    <w:p>
      <w:pPr>
        <w:spacing w:before="75" w:after="0"/>
      </w:pPr>
      <w:r>
        <w:rPr/>
        <w:t xml:space="preserve">二、山东老年大学</w:t>
      </w:r>
    </w:p>
    <w:p>
      <w:pPr>
        <w:spacing w:before="75" w:after="0"/>
      </w:pPr>
      <w:r>
        <w:rPr/>
        <w:t xml:space="preserve">(一)“文化养老+社区嵌入”双驱动模式</w:t>
      </w:r>
    </w:p>
    <w:p>
      <w:pPr>
        <w:spacing w:before="75" w:after="0"/>
      </w:pPr>
      <w:r>
        <w:rPr/>
        <w:t xml:space="preserve">(二)文旅协同开发游学课程</w:t>
      </w:r>
    </w:p>
    <w:p>
      <w:pPr>
        <w:spacing w:before="75" w:after="0"/>
      </w:pPr>
      <w:r>
        <w:rPr/>
        <w:t xml:space="preserve">第二节 民营连锁教育机构</w:t>
      </w:r>
    </w:p>
    <w:p>
      <w:pPr>
        <w:spacing w:before="75" w:after="0"/>
      </w:pPr>
      <w:r>
        <w:rPr/>
        <w:t xml:space="preserve">一、美好盛年(广州)</w:t>
      </w:r>
    </w:p>
    <w:p>
      <w:pPr>
        <w:spacing w:before="75" w:after="0"/>
      </w:pPr>
      <w:r>
        <w:rPr/>
        <w:t xml:space="preserve">(一)会员制分层收费与ip化运营</w:t>
      </w:r>
    </w:p>
    <w:p>
      <w:pPr>
        <w:spacing w:before="75" w:after="0"/>
      </w:pPr>
      <w:r>
        <w:rPr/>
        <w:t xml:space="preserve">(二)老年网红孵化与直播课程创新</w:t>
      </w:r>
    </w:p>
    <w:p>
      <w:pPr>
        <w:spacing w:before="75" w:after="0"/>
      </w:pPr>
      <w:r>
        <w:rPr/>
        <w:t xml:space="preserve">二、乐退族(北京)</w:t>
      </w:r>
    </w:p>
    <w:p>
      <w:pPr>
        <w:spacing w:before="75" w:after="0"/>
      </w:pPr>
      <w:r>
        <w:rPr/>
        <w:t xml:space="preserve">(一)高净值人群定制服务</w:t>
      </w:r>
    </w:p>
    <w:p>
      <w:pPr>
        <w:spacing w:before="75" w:after="0"/>
      </w:pPr>
      <w:r>
        <w:rPr/>
        <w:t xml:space="preserve">(二)私域流量运营能力</w:t>
      </w:r>
    </w:p>
    <w:p>
      <w:pPr>
        <w:spacing w:before="75" w:after="0"/>
      </w:pPr>
      <w:r>
        <w:rPr/>
        <w:t xml:space="preserve">第三节 跨界布局企业</w:t>
      </w:r>
    </w:p>
    <w:p>
      <w:pPr>
        <w:spacing w:before="75" w:after="0"/>
      </w:pPr>
      <w:r>
        <w:rPr>
          <w:b w:val="1"/>
          <w:bCs w:val="1"/>
        </w:rPr>
        <w:t xml:space="preserve">第七章 商业模式与盈利路径</w:t>
      </w:r>
    </w:p>
    <w:p>
      <w:pPr>
        <w:spacing w:before="75" w:after="0"/>
      </w:pPr>
      <w:r>
        <w:rPr/>
        <w:t xml:space="preserve">第一节 主流商业模式对比</w:t>
      </w:r>
    </w:p>
    <w:p>
      <w:pPr>
        <w:spacing w:before="75" w:after="0"/>
      </w:pPr>
      <w:r>
        <w:rPr/>
        <w:t xml:space="preserve">一、政府购买服务(公益主导)</w:t>
      </w:r>
    </w:p>
    <w:p>
      <w:pPr>
        <w:spacing w:before="75" w:after="0"/>
      </w:pPr>
      <w:r>
        <w:rPr/>
        <w:t xml:space="preserve">二、会员制分层收费</w:t>
      </w:r>
    </w:p>
    <w:p>
      <w:pPr>
        <w:spacing w:before="75" w:after="0"/>
      </w:pPr>
      <w:r>
        <w:rPr/>
        <w:t xml:space="preserve">三、“课程+周边产品”衍生变现</w:t>
      </w:r>
    </w:p>
    <w:p>
      <w:pPr>
        <w:spacing w:before="75" w:after="0"/>
      </w:pPr>
      <w:r>
        <w:rPr/>
        <w:t xml:space="preserve">第二节 成本结构与盈利瓶颈</w:t>
      </w:r>
    </w:p>
    <w:p>
      <w:pPr>
        <w:spacing w:before="75" w:after="0"/>
      </w:pPr>
      <w:r>
        <w:rPr/>
        <w:t xml:space="preserve">一、师资成本与标准化复制难题</w:t>
      </w:r>
    </w:p>
    <w:p>
      <w:pPr>
        <w:spacing w:before="75" w:after="0"/>
      </w:pPr>
      <w:r>
        <w:rPr/>
        <w:t xml:space="preserve">二、场地租赁与轻资产运营平衡</w:t>
      </w:r>
    </w:p>
    <w:p>
      <w:pPr>
        <w:spacing w:before="75" w:after="0"/>
      </w:pPr>
      <w:r>
        <w:rPr>
          <w:b w:val="1"/>
          <w:bCs w:val="1"/>
        </w:rPr>
        <w:t xml:space="preserve">第八章 技术赋能与数字化转型</w:t>
      </w:r>
    </w:p>
    <w:p>
      <w:pPr>
        <w:spacing w:before="75" w:after="0"/>
      </w:pPr>
      <w:r>
        <w:rPr/>
        <w:t xml:space="preserve">第一节 线上化服务场景</w:t>
      </w:r>
    </w:p>
    <w:p>
      <w:pPr>
        <w:spacing w:before="75" w:after="0"/>
      </w:pPr>
      <w:r>
        <w:rPr/>
        <w:t xml:space="preserve">一、直播课程与虚拟班级运营</w:t>
      </w:r>
    </w:p>
    <w:p>
      <w:pPr>
        <w:spacing w:before="75" w:after="0"/>
      </w:pPr>
      <w:r>
        <w:rPr/>
        <w:t xml:space="preserve">二、适老化学习平台开发(如“红松学堂”)</w:t>
      </w:r>
    </w:p>
    <w:p>
      <w:pPr>
        <w:spacing w:before="75" w:after="0"/>
      </w:pPr>
      <w:r>
        <w:rPr/>
        <w:t xml:space="preserve">第二节 数据驱动管理</w:t>
      </w:r>
    </w:p>
    <w:p>
      <w:pPr>
        <w:spacing w:before="75" w:after="0"/>
      </w:pPr>
      <w:r>
        <w:rPr/>
        <w:t xml:space="preserve">一、学员行为分析与课程优化</w:t>
      </w:r>
    </w:p>
    <w:p>
      <w:pPr>
        <w:spacing w:before="75" w:after="0"/>
      </w:pPr>
      <w:r>
        <w:rPr/>
        <w:t xml:space="preserve">二、智能推荐系统与个性化学习路径</w:t>
      </w:r>
    </w:p>
    <w:p>
      <w:pPr>
        <w:spacing w:before="75" w:after="0"/>
      </w:pPr>
      <w:r>
        <w:rPr>
          <w:b w:val="1"/>
          <w:bCs w:val="1"/>
        </w:rPr>
        <w:t xml:space="preserve">第九章 区域市场潜力评估</w:t>
      </w:r>
    </w:p>
    <w:p>
      <w:pPr>
        <w:spacing w:before="75" w:after="0"/>
      </w:pPr>
      <w:r>
        <w:rPr/>
        <w:t xml:space="preserve">第一节 高潜力区域</w:t>
      </w:r>
    </w:p>
    <w:p>
      <w:pPr>
        <w:spacing w:before="75" w:after="0"/>
      </w:pPr>
      <w:r>
        <w:rPr/>
        <w:t xml:space="preserve">一、长三角：政策先行与消费能力支撑</w:t>
      </w:r>
    </w:p>
    <w:p>
      <w:pPr>
        <w:spacing w:before="75" w:after="0"/>
      </w:pPr>
      <w:r>
        <w:rPr/>
        <w:t xml:space="preserve">二、成渝都市圈：人口基数与政策红利叠加</w:t>
      </w:r>
    </w:p>
    <w:p>
      <w:pPr>
        <w:spacing w:before="75" w:after="0"/>
      </w:pPr>
      <w:r>
        <w:rPr/>
        <w:t xml:space="preserve">第二节 县域市场突破路径</w:t>
      </w:r>
    </w:p>
    <w:p>
      <w:pPr>
        <w:spacing w:before="75" w:after="0"/>
      </w:pPr>
      <w:r>
        <w:rPr/>
        <w:t xml:space="preserve">一、与新时代文明实践中心共建</w:t>
      </w:r>
    </w:p>
    <w:p>
      <w:pPr>
        <w:spacing w:before="75" w:after="0"/>
      </w:pPr>
      <w:r>
        <w:rPr/>
        <w:t xml:space="preserve">二、基层社会组织联合运营</w:t>
      </w:r>
    </w:p>
    <w:p>
      <w:pPr>
        <w:spacing w:before="75" w:after="0"/>
      </w:pPr>
      <w:r>
        <w:rPr>
          <w:b w:val="1"/>
          <w:bCs w:val="1"/>
        </w:rPr>
        <w:t xml:space="preserve">第十章 投资价值与风险预警</w:t>
      </w:r>
    </w:p>
    <w:p>
      <w:pPr>
        <w:spacing w:before="75" w:after="0"/>
      </w:pPr>
      <w:r>
        <w:rPr/>
        <w:t xml:space="preserve">第一节 投资吸引力</w:t>
      </w:r>
    </w:p>
    <w:p>
      <w:pPr>
        <w:spacing w:before="75" w:after="0"/>
      </w:pPr>
      <w:r>
        <w:rPr/>
        <w:t xml:space="preserve">一、政策红利与市场空白双驱动</w:t>
      </w:r>
    </w:p>
    <w:p>
      <w:pPr>
        <w:spacing w:before="75" w:after="0"/>
      </w:pPr>
      <w:r>
        <w:rPr/>
        <w:t xml:space="preserve">二、银发经济产业链协同效应</w:t>
      </w:r>
    </w:p>
    <w:p>
      <w:pPr>
        <w:spacing w:before="75" w:after="0"/>
      </w:pPr>
      <w:r>
        <w:rPr/>
        <w:t xml:space="preserve">第二节 核心风险</w:t>
      </w:r>
    </w:p>
    <w:p>
      <w:pPr>
        <w:spacing w:before="75" w:after="0"/>
      </w:pPr>
      <w:r>
        <w:rPr/>
        <w:t xml:space="preserve">一、政策依赖度过高</w:t>
      </w:r>
    </w:p>
    <w:p>
      <w:pPr>
        <w:spacing w:before="75" w:after="0"/>
      </w:pPr>
      <w:r>
        <w:rPr/>
        <w:t xml:space="preserve">二、用户付费习惯培育周期长</w:t>
      </w:r>
    </w:p>
    <w:p>
      <w:pPr>
        <w:spacing w:before="75" w:after="0"/>
      </w:pPr>
      <w:r>
        <w:rPr>
          <w:b w:val="1"/>
          <w:bCs w:val="1"/>
        </w:rPr>
        <w:t xml:space="preserve">第十一章 社会责任与可持续发展</w:t>
      </w:r>
    </w:p>
    <w:p>
      <w:pPr>
        <w:spacing w:before="75" w:after="0"/>
      </w:pPr>
      <w:r>
        <w:rPr/>
        <w:t xml:space="preserve">第一节 社会价值体现</w:t>
      </w:r>
    </w:p>
    <w:p>
      <w:pPr>
        <w:spacing w:before="75" w:after="0"/>
      </w:pPr>
      <w:r>
        <w:rPr/>
        <w:t xml:space="preserve">一、缓解老龄化社会心理问题</w:t>
      </w:r>
    </w:p>
    <w:p>
      <w:pPr>
        <w:spacing w:before="75" w:after="0"/>
      </w:pPr>
      <w:r>
        <w:rPr/>
        <w:t xml:space="preserve">二、促进代际知识传递</w:t>
      </w:r>
    </w:p>
    <w:p>
      <w:pPr>
        <w:spacing w:before="75" w:after="0"/>
      </w:pPr>
      <w:r>
        <w:rPr/>
        <w:t xml:space="preserve">第二节 伦理争议</w:t>
      </w:r>
    </w:p>
    <w:p>
      <w:pPr>
        <w:spacing w:before="75" w:after="0"/>
      </w:pPr>
      <w:r>
        <w:rPr/>
        <w:t xml:space="preserve">一、商业化与公益性的边界</w:t>
      </w:r>
    </w:p>
    <w:p>
      <w:pPr>
        <w:spacing w:before="75" w:after="0"/>
      </w:pPr>
      <w:r>
        <w:rPr/>
        <w:t xml:space="preserve">二、数据隐私与适老化设计伦理</w:t>
      </w:r>
    </w:p>
    <w:p>
      <w:pPr>
        <w:spacing w:before="75" w:after="0"/>
      </w:pPr>
      <w:r>
        <w:rPr>
          <w:b w:val="1"/>
          <w:bCs w:val="1"/>
        </w:rPr>
        <w:t xml:space="preserve">第十二章 未来五年趋势展望</w:t>
      </w:r>
    </w:p>
    <w:p>
      <w:pPr>
        <w:spacing w:before="75" w:after="0"/>
      </w:pPr>
      <w:r>
        <w:rPr/>
        <w:t xml:space="preserve">第一节 行业演进方向</w:t>
      </w:r>
    </w:p>
    <w:p>
      <w:pPr>
        <w:spacing w:before="75" w:after="0"/>
      </w:pPr>
      <w:r>
        <w:rPr/>
        <w:t xml:space="preserve">一、从“兴趣教育”向“终身价值赋能”升级</w:t>
      </w:r>
    </w:p>
    <w:p>
      <w:pPr>
        <w:spacing w:before="75" w:after="0"/>
      </w:pPr>
      <w:r>
        <w:rPr/>
        <w:t xml:space="preserve">二、线上线下omo模式深度融合</w:t>
      </w:r>
    </w:p>
    <w:p>
      <w:pPr>
        <w:spacing w:before="75" w:after="0"/>
      </w:pPr>
      <w:r>
        <w:rPr/>
        <w:t xml:space="preserve">第二节 技术融合创新</w:t>
      </w:r>
    </w:p>
    <w:p>
      <w:pPr>
        <w:spacing w:before="75" w:after="0"/>
      </w:pPr>
      <w:r>
        <w:rPr/>
        <w:t xml:space="preserve">一、vr/ar在沉浸式课程中的应用</w:t>
      </w:r>
    </w:p>
    <w:p>
      <w:pPr>
        <w:spacing w:before="75" w:after="0"/>
      </w:pPr>
      <w:r>
        <w:rPr/>
        <w:t xml:space="preserve">二、ai助教与个性化学习方案</w:t>
      </w:r>
    </w:p>
    <w:p>
      <w:pPr>
        <w:spacing w:before="75" w:after="0"/>
      </w:pPr>
      <w:r>
        <w:rPr>
          <w:b w:val="1"/>
          <w:bCs w:val="1"/>
        </w:rPr>
        <w:t xml:space="preserve">图表目录</w:t>
      </w:r>
    </w:p>
    <w:p>
      <w:pPr>
        <w:spacing w:before="75" w:after="0"/>
      </w:pPr>
      <w:r>
        <w:rPr/>
        <w:t xml:space="preserve">图表：中国老年大学行业生命周期阶段</w:t>
      </w:r>
    </w:p>
    <w:p>
      <w:pPr>
        <w:spacing w:before="75" w:after="0"/>
      </w:pPr>
      <w:r>
        <w:rPr/>
        <w:t xml:space="preserve">图表：老年教育用户需求分层模型</w:t>
      </w:r>
    </w:p>
    <w:p>
      <w:pPr>
        <w:spacing w:before="75" w:after="0"/>
      </w:pPr>
      <w:r>
        <w:rPr/>
        <w:t xml:space="preserve">图表：主要区域市场竞争格局热力图</w:t>
      </w:r>
    </w:p>
    <w:p>
      <w:pPr>
        <w:spacing w:before="75" w:after="0"/>
      </w:pPr>
      <w:r>
        <w:rPr/>
        <w:t xml:space="preserve">图表：重点企业商业模式对比矩阵</w:t>
      </w:r>
    </w:p>
    <w:p>
      <w:pPr>
        <w:spacing w:before="75" w:after="0"/>
      </w:pPr>
      <w:r>
        <w:rPr/>
        <w:t xml:space="preserve">图表：泰康之家“保险-教育”生态链路图</w:t>
      </w:r>
    </w:p>
    <w:p>
      <w:pPr>
        <w:spacing w:before="75" w:after="0"/>
      </w:pPr>
      <w:r>
        <w:rPr/>
        <w:t xml:space="preserve">图表：数字化转型技术应用框架</w:t>
      </w:r>
    </w:p>
    <w:p>
      <w:pPr>
        <w:spacing w:before="75" w:after="0"/>
      </w:pPr>
      <w:r>
        <w:rPr/>
        <w:t xml:space="preserve">图表：县域市场基础设施覆盖率地图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本文地址：https://www.51baogao.cn/baogao/20250321/2979924.shtml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321/2979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中国老年大学行业市场运行现状及发展趋势与投资前景研究报告(2026-2031版)</dc:title>
  <dc:description>中国老年大学行业市场运行现状及发展趋势与投资前景研究报告(2026-2031版)</dc:description>
  <dc:subject>中国老年大学行业市场运行现状及发展趋势与投资前景研究报告(2026-2031版)</dc:subject>
  <cp:keywords>研究报告</cp:keywords>
  <cp:category>研究报告</cp:category>
  <cp:lastModifiedBy>北京中道泰和信息咨询有限公司</cp:lastModifiedBy>
  <dcterms:created xsi:type="dcterms:W3CDTF">2026-04-08T16:12:12+08:00</dcterms:created>
  <dcterms:modified xsi:type="dcterms:W3CDTF">2026-04-08T16:12:12+08:00</dcterms:modified>
</cp:coreProperties>
</file>

<file path=docProps/custom.xml><?xml version="1.0" encoding="utf-8"?>
<Properties xmlns="http://schemas.openxmlformats.org/officeDocument/2006/custom-properties" xmlns:vt="http://schemas.openxmlformats.org/officeDocument/2006/docPropsVTypes"/>
</file>