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北美算力行业市场发展分析及企业案例与前景展望研究报告(2026-2031版)</w:t>
      </w:r>
    </w:p>
    <w:p>
      <w:pPr>
        <w:spacing w:after="150"/>
      </w:pPr>
      <w:r>
        <w:rPr>
          <w:b w:val="1"/>
          <w:bCs w:val="1"/>
        </w:rPr>
        <w:t xml:space="preserve">报告简介</w:t>
      </w:r>
    </w:p>
    <w:p>
      <w:pPr>
        <w:spacing w:after="150"/>
      </w:pPr>
      <w:r>
        <w:rPr/>
        <w:t xml:space="preserve">北美算力行业是指北美地区在计算能力方面的优势和影响力。它涵盖了从硬件制造到软件开发的全链条，包括高性能计算、云计算、人工智能等多个领域。</w:t>
      </w:r>
    </w:p>
    <w:p>
      <w:pPr>
        <w:spacing w:after="150"/>
      </w:pPr>
      <w:r>
        <w:rPr/>
        <w:t xml:space="preserve">北美算力行业在技术上处于领先地位，特别是在硬件和软件开发方面。例如，英伟达的Blackwell架构GPU和Trainium芯片在市场上具有重要影响。此外，北美地区的云计算服务提供商如亚马逊、微软和谷歌通过战略投资构建生态闭环，进一步巩固了其在全球市场的地位。然而，近期北美科技股表现分化，英伟达等硬件厂商股价回调，但英特尔等公司表现较好</w:t>
      </w:r>
    </w:p>
    <w:p>
      <w:pPr>
        <w:spacing w:after="150"/>
      </w:pPr>
      <w:r>
        <w:rPr/>
        <w:t xml:space="preserve">技术迭代是推动北美算力行业发展的重要因素。英伟达的新一代算力芯片GB200/GB300逐步放量，微软推出了首款量子计算芯片Majorana1，这些技术创新将持续推动行业的发展。此外，混合云管理技术的成熟和跨云资源调度延迟的降低也为行业带来了新的机遇。</w:t>
      </w:r>
    </w:p>
    <w:p>
      <w:pPr>
        <w:spacing w:after="150"/>
      </w:pPr>
      <w:r>
        <w:rPr/>
        <w:t xml:space="preserve">预计未来几年全球算力规模将继续快速增长，北美地区将继续保持其领先地位。技术革新和市场需求的变化将进一步推动行业的发展。特别是在人工智能大模型训练需求的激增和5G网络商用的深化，将带动算力需求的增加。此外，量子计算和云原生的普及也将为行业带来新的增长点。</w:t>
      </w:r>
    </w:p>
    <w:p>
      <w:pPr>
        <w:spacing w:after="150"/>
      </w:pPr>
      <w:r>
        <w:rPr/>
        <w:t xml:space="preserve">在数字经济与人工智能双重革命驱动下，算力已成为支撑全球产业升级的核心生产要素。北美作为全球算力技术创新策源地与产业生态制高点，其行业演进不仅关乎区域经济竞争力，更深度影响着全球数字基础设施的格局重构。本报告基于中道泰和二十余年产业咨询方法论，以「技术-政策-市场」三维分析体系为锚点，系统解构北美算力产业未来五年的发展脉络。</w:t>
      </w:r>
    </w:p>
    <w:p>
      <w:pPr>
        <w:spacing w:after="150"/>
      </w:pPr>
      <w:r>
        <w:rPr/>
        <w:t xml:space="preserve">研究聚焦四大核心维度：</w:t>
      </w:r>
    </w:p>
    <w:p>
      <w:pPr>
        <w:spacing w:after="150"/>
      </w:pPr>
      <w:r>
        <w:rPr/>
        <w:t xml:space="preserve">技术代际跃迁</w:t>
      </w:r>
    </w:p>
    <w:p>
      <w:pPr>
        <w:spacing w:after="150"/>
      </w:pPr>
      <w:r>
        <w:rPr/>
        <w:t xml:space="preserve">涵盖异构计算架构迭代、先进封装技术突破及量子-经典计算融合路径，重点解析北美企业在芯片设计、算法优化与能效管理领域的创新护城河，揭示算力供给端的技术壁垒与生态话语权争夺逻辑。</w:t>
      </w:r>
    </w:p>
    <w:p>
      <w:pPr>
        <w:spacing w:after="150"/>
      </w:pPr>
      <w:r>
        <w:rPr/>
        <w:t xml:space="preserve">政策博弈与地缘重构</w:t>
      </w:r>
    </w:p>
    <w:p>
      <w:pPr>
        <w:spacing w:after="150"/>
      </w:pPr>
      <w:r>
        <w:rPr/>
        <w:t xml:space="preserve">围绕《芯片法案》实施效能、半导体供应链本土化进程及跨境数据流动监管框架，评估政策工具对算力产业链垂直整合的催化效应，预判北美在技术出口管制与标准制定权争夺中的战略动向。</w:t>
      </w:r>
    </w:p>
    <w:p>
      <w:pPr>
        <w:spacing w:after="150"/>
      </w:pPr>
      <w:r>
        <w:rPr/>
        <w:t xml:space="preserve">应用场景裂变</w:t>
      </w:r>
    </w:p>
    <w:p>
      <w:pPr>
        <w:spacing w:after="150"/>
      </w:pPr>
      <w:r>
        <w:rPr/>
        <w:t xml:space="preserve">深度追踪AI大模型训练、边缘智能终端、元宇宙基础设施等新兴需求对算力资源配置模式的颠覆性影响，挖掘工业4.0、精准医疗等产业数字化转型中的算力价值捕获点。</w:t>
      </w:r>
    </w:p>
    <w:p>
      <w:pPr>
        <w:spacing w:after="150"/>
      </w:pPr>
      <w:r>
        <w:rPr/>
        <w:t xml:space="preserve">可持续发展范式</w:t>
      </w:r>
    </w:p>
    <w:p>
      <w:pPr>
        <w:spacing w:after="150"/>
      </w:pPr>
      <w:r>
        <w:rPr/>
        <w:t xml:space="preserve">剖析绿色算力中心建设、碳足迹追踪系统及可再生能源并网技术对行业ESG指标的改造潜力，探索算力密度提升与能耗成本控制的动态平衡机制。</w:t>
      </w:r>
    </w:p>
    <w:p>
      <w:pPr>
        <w:spacing w:after="150"/>
      </w:pPr>
      <w:r>
        <w:rPr/>
        <w:t xml:space="preserve">本报告采用中道泰和独创的「产业链风险穿透模型」，结合专利地图分析、企业竞争力矩阵与政策仿真推演，旨在为投资者厘清技术路线分歧期的价值洼地，为从业者提供应对供应链波动与地缘风险的决策工具箱。研究团队依托跨学科知识库与北美本土调研网络，突破传统行业研究的静态视角，构建动态演进的产业洞察体系，助力利益相关方把握算力革命第二增长曲线的战略机遇。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研究概述</w:t>
      </w:r>
    </w:p>
    <w:p>
      <w:pPr>
        <w:spacing w:before="75" w:after="0"/>
      </w:pPr>
      <w:r>
        <w:rPr/>
        <w:t xml:space="preserve">第一节  研究背景与意义</w:t>
      </w:r>
    </w:p>
    <w:p>
      <w:pPr>
        <w:spacing w:before="75" w:after="0"/>
      </w:pPr>
      <w:r>
        <w:rPr/>
        <w:t xml:space="preserve">第二节  研究范围与方法</w:t>
      </w:r>
    </w:p>
    <w:p>
      <w:pPr>
        <w:spacing w:before="75" w:after="0"/>
      </w:pPr>
      <w:r>
        <w:rPr/>
        <w:t xml:space="preserve">第三节  报告结构与亮点</w:t>
      </w:r>
    </w:p>
    <w:p>
      <w:pPr>
        <w:spacing w:before="75" w:after="0"/>
      </w:pPr>
      <w:r>
        <w:rPr>
          <w:b w:val="1"/>
          <w:bCs w:val="1"/>
        </w:rPr>
        <w:t xml:space="preserve">第二章 北美算力行业发展环境分析</w:t>
      </w:r>
    </w:p>
    <w:p>
      <w:pPr>
        <w:spacing w:before="75" w:after="0"/>
      </w:pPr>
      <w:r>
        <w:rPr/>
        <w:t xml:space="preserve">第一节  政治环境分析</w:t>
      </w:r>
    </w:p>
    <w:p>
      <w:pPr>
        <w:spacing w:before="75" w:after="0"/>
      </w:pPr>
      <w:r>
        <w:rPr/>
        <w:t xml:space="preserve">一、  政府政策支持与监管</w:t>
      </w:r>
    </w:p>
    <w:p>
      <w:pPr>
        <w:spacing w:before="75" w:after="0"/>
      </w:pPr>
      <w:r>
        <w:rPr/>
        <w:t xml:space="preserve">二、  国际关系对算力行业的影响</w:t>
      </w:r>
    </w:p>
    <w:p>
      <w:pPr>
        <w:spacing w:before="75" w:after="0"/>
      </w:pPr>
      <w:r>
        <w:rPr/>
        <w:t xml:space="preserve">第二节  经济环境分析</w:t>
      </w:r>
    </w:p>
    <w:p>
      <w:pPr>
        <w:spacing w:before="75" w:after="0"/>
      </w:pPr>
      <w:r>
        <w:rPr/>
        <w:t xml:space="preserve">一、  北美地区经济增长趋势</w:t>
      </w:r>
    </w:p>
    <w:p>
      <w:pPr>
        <w:spacing w:before="75" w:after="0"/>
      </w:pPr>
      <w:r>
        <w:rPr/>
        <w:t xml:space="preserve">二、  算力行业对经济的贡献</w:t>
      </w:r>
    </w:p>
    <w:p>
      <w:pPr>
        <w:spacing w:before="75" w:after="0"/>
      </w:pPr>
      <w:r>
        <w:rPr/>
        <w:t xml:space="preserve">第三节  社会环境分析</w:t>
      </w:r>
    </w:p>
    <w:p>
      <w:pPr>
        <w:spacing w:before="75" w:after="0"/>
      </w:pPr>
      <w:r>
        <w:rPr/>
        <w:t xml:space="preserve">一、  社会对算力的需求变化</w:t>
      </w:r>
    </w:p>
    <w:p>
      <w:pPr>
        <w:spacing w:before="75" w:after="0"/>
      </w:pPr>
      <w:r>
        <w:rPr/>
        <w:t xml:space="preserve">二、  人才培养与就业情况</w:t>
      </w:r>
    </w:p>
    <w:p>
      <w:pPr>
        <w:spacing w:before="75" w:after="0"/>
      </w:pPr>
      <w:r>
        <w:rPr/>
        <w:t xml:space="preserve">第四节  技术环境分析</w:t>
      </w:r>
    </w:p>
    <w:p>
      <w:pPr>
        <w:spacing w:before="75" w:after="0"/>
      </w:pPr>
      <w:r>
        <w:rPr/>
        <w:t xml:space="preserve">一、  关键技术发展现状</w:t>
      </w:r>
    </w:p>
    <w:p>
      <w:pPr>
        <w:spacing w:before="75" w:after="0"/>
      </w:pPr>
      <w:r>
        <w:rPr/>
        <w:t xml:space="preserve">二、  技术创新趋势</w:t>
      </w:r>
    </w:p>
    <w:p>
      <w:pPr>
        <w:spacing w:before="75" w:after="0"/>
      </w:pPr>
      <w:r>
        <w:rPr>
          <w:b w:val="1"/>
          <w:bCs w:val="1"/>
        </w:rPr>
        <w:t xml:space="preserve">第三章 北美算力行业发展历程与现状</w:t>
      </w:r>
    </w:p>
    <w:p>
      <w:pPr>
        <w:spacing w:before="75" w:after="0"/>
      </w:pPr>
      <w:r>
        <w:rPr/>
        <w:t xml:space="preserve">第一节  发展历程回顾</w:t>
      </w:r>
    </w:p>
    <w:p>
      <w:pPr>
        <w:spacing w:before="75" w:after="0"/>
      </w:pPr>
      <w:r>
        <w:rPr/>
        <w:t xml:space="preserve">一、  起步阶段</w:t>
      </w:r>
    </w:p>
    <w:p>
      <w:pPr>
        <w:spacing w:before="75" w:after="0"/>
      </w:pPr>
      <w:r>
        <w:rPr/>
        <w:t xml:space="preserve">二、  快速发展阶段</w:t>
      </w:r>
    </w:p>
    <w:p>
      <w:pPr>
        <w:spacing w:before="75" w:after="0"/>
      </w:pPr>
      <w:r>
        <w:rPr/>
        <w:t xml:space="preserve">三、  成熟阶段</w:t>
      </w:r>
    </w:p>
    <w:p>
      <w:pPr>
        <w:spacing w:before="75" w:after="0"/>
      </w:pPr>
      <w:r>
        <w:rPr/>
        <w:t xml:space="preserve">第二节  现状分析</w:t>
      </w:r>
    </w:p>
    <w:p>
      <w:pPr>
        <w:spacing w:before="75" w:after="0"/>
      </w:pPr>
      <w:r>
        <w:rPr/>
        <w:t xml:space="preserve">一、  市场规模与增长</w:t>
      </w:r>
    </w:p>
    <w:p>
      <w:pPr>
        <w:spacing w:before="75" w:after="0"/>
      </w:pPr>
      <w:r>
        <w:rPr/>
        <w:t xml:space="preserve">二、  市场结构与竞争格局</w:t>
      </w:r>
    </w:p>
    <w:p>
      <w:pPr>
        <w:spacing w:before="75" w:after="0"/>
      </w:pPr>
      <w:r>
        <w:rPr/>
        <w:t xml:space="preserve">三、  区域发展差异</w:t>
      </w:r>
    </w:p>
    <w:p>
      <w:pPr>
        <w:spacing w:before="75" w:after="0"/>
      </w:pPr>
      <w:r>
        <w:rPr>
          <w:b w:val="1"/>
          <w:bCs w:val="1"/>
        </w:rPr>
        <w:t xml:space="preserve">第四章 北美算力行业产业链分析</w:t>
      </w:r>
    </w:p>
    <w:p>
      <w:pPr>
        <w:spacing w:before="75" w:after="0"/>
      </w:pPr>
      <w:r>
        <w:rPr/>
        <w:t xml:space="preserve">第一节  上游产业分析</w:t>
      </w:r>
    </w:p>
    <w:p>
      <w:pPr>
        <w:spacing w:before="75" w:after="0"/>
      </w:pPr>
      <w:r>
        <w:rPr/>
        <w:t xml:space="preserve">一、  芯片制造</w:t>
      </w:r>
    </w:p>
    <w:p>
      <w:pPr>
        <w:spacing w:before="75" w:after="0"/>
      </w:pPr>
      <w:r>
        <w:rPr/>
        <w:t xml:space="preserve">二、  服务器制造</w:t>
      </w:r>
    </w:p>
    <w:p>
      <w:pPr>
        <w:spacing w:before="75" w:after="0"/>
      </w:pPr>
      <w:r>
        <w:rPr/>
        <w:t xml:space="preserve">三、  数据中心建设</w:t>
      </w:r>
    </w:p>
    <w:p>
      <w:pPr>
        <w:spacing w:before="75" w:after="0"/>
      </w:pPr>
      <w:r>
        <w:rPr/>
        <w:t xml:space="preserve">第二节  中游产业分析</w:t>
      </w:r>
    </w:p>
    <w:p>
      <w:pPr>
        <w:spacing w:before="75" w:after="0"/>
      </w:pPr>
      <w:r>
        <w:rPr/>
        <w:t xml:space="preserve">一、  云计算服务</w:t>
      </w:r>
    </w:p>
    <w:p>
      <w:pPr>
        <w:spacing w:before="75" w:after="0"/>
      </w:pPr>
      <w:r>
        <w:rPr/>
        <w:t xml:space="preserve">二、  边缘计算服务</w:t>
      </w:r>
    </w:p>
    <w:p>
      <w:pPr>
        <w:spacing w:before="75" w:after="0"/>
      </w:pPr>
      <w:r>
        <w:rPr/>
        <w:t xml:space="preserve">三、  人工智能算力服务</w:t>
      </w:r>
    </w:p>
    <w:p>
      <w:pPr>
        <w:spacing w:before="75" w:after="0"/>
      </w:pPr>
      <w:r>
        <w:rPr/>
        <w:t xml:space="preserve">第三节  下游产业分析</w:t>
      </w:r>
    </w:p>
    <w:p>
      <w:pPr>
        <w:spacing w:before="75" w:after="0"/>
      </w:pPr>
      <w:r>
        <w:rPr/>
        <w:t xml:space="preserve">一、  互联网行业</w:t>
      </w:r>
    </w:p>
    <w:p>
      <w:pPr>
        <w:spacing w:before="75" w:after="0"/>
      </w:pPr>
      <w:r>
        <w:rPr/>
        <w:t xml:space="preserve">二、  金融行业</w:t>
      </w:r>
    </w:p>
    <w:p>
      <w:pPr>
        <w:spacing w:before="75" w:after="0"/>
      </w:pPr>
      <w:r>
        <w:rPr/>
        <w:t xml:space="preserve">三、  医疗行业</w:t>
      </w:r>
    </w:p>
    <w:p>
      <w:pPr>
        <w:spacing w:before="75" w:after="0"/>
      </w:pPr>
      <w:r>
        <w:rPr/>
        <w:t xml:space="preserve">四、  制造业</w:t>
      </w:r>
    </w:p>
    <w:p>
      <w:pPr>
        <w:spacing w:before="75" w:after="0"/>
      </w:pPr>
      <w:r>
        <w:rPr>
          <w:b w:val="1"/>
          <w:bCs w:val="1"/>
        </w:rPr>
        <w:t xml:space="preserve">第五章 北美算力行业市场需求分析</w:t>
      </w:r>
    </w:p>
    <w:p>
      <w:pPr>
        <w:spacing w:before="75" w:after="0"/>
      </w:pPr>
      <w:r>
        <w:rPr/>
        <w:t xml:space="preserve">第一节  总体需求规模与增长趋势</w:t>
      </w:r>
    </w:p>
    <w:p>
      <w:pPr>
        <w:spacing w:before="75" w:after="0"/>
      </w:pPr>
      <w:r>
        <w:rPr/>
        <w:t xml:space="preserve">第二节  不同行业需求特征</w:t>
      </w:r>
    </w:p>
    <w:p>
      <w:pPr>
        <w:spacing w:before="75" w:after="0"/>
      </w:pPr>
      <w:r>
        <w:rPr/>
        <w:t xml:space="preserve">一、  高算力需求行业</w:t>
      </w:r>
    </w:p>
    <w:p>
      <w:pPr>
        <w:spacing w:before="75" w:after="0"/>
      </w:pPr>
      <w:r>
        <w:rPr/>
        <w:t xml:space="preserve">二、  中等算力需求行业</w:t>
      </w:r>
    </w:p>
    <w:p>
      <w:pPr>
        <w:spacing w:before="75" w:after="0"/>
      </w:pPr>
      <w:r>
        <w:rPr/>
        <w:t xml:space="preserve">三、  低算力需求行业</w:t>
      </w:r>
    </w:p>
    <w:p>
      <w:pPr>
        <w:spacing w:before="75" w:after="0"/>
      </w:pPr>
      <w:r>
        <w:rPr/>
        <w:t xml:space="preserve">第三节  需求影响因素分析</w:t>
      </w:r>
    </w:p>
    <w:p>
      <w:pPr>
        <w:spacing w:before="75" w:after="0"/>
      </w:pPr>
      <w:r>
        <w:rPr/>
        <w:t xml:space="preserve">一、  技术进步</w:t>
      </w:r>
    </w:p>
    <w:p>
      <w:pPr>
        <w:spacing w:before="75" w:after="0"/>
      </w:pPr>
      <w:r>
        <w:rPr/>
        <w:t xml:space="preserve">二、  业务创新</w:t>
      </w:r>
    </w:p>
    <w:p>
      <w:pPr>
        <w:spacing w:before="75" w:after="0"/>
      </w:pPr>
      <w:r>
        <w:rPr/>
        <w:t xml:space="preserve">三、  政策引导</w:t>
      </w:r>
    </w:p>
    <w:p>
      <w:pPr>
        <w:spacing w:before="75" w:after="0"/>
      </w:pPr>
      <w:r>
        <w:rPr>
          <w:b w:val="1"/>
          <w:bCs w:val="1"/>
        </w:rPr>
        <w:t xml:space="preserve">第六章 北美算力行业市场供给分析</w:t>
      </w:r>
    </w:p>
    <w:p>
      <w:pPr>
        <w:spacing w:before="75" w:after="0"/>
      </w:pPr>
      <w:r>
        <w:rPr/>
        <w:t xml:space="preserve">第一节  总体供给规模与增长趋势</w:t>
      </w:r>
    </w:p>
    <w:p>
      <w:pPr>
        <w:spacing w:before="75" w:after="0"/>
      </w:pPr>
      <w:r>
        <w:rPr/>
        <w:t xml:space="preserve">第二节  不同类型算力供给情况</w:t>
      </w:r>
    </w:p>
    <w:p>
      <w:pPr>
        <w:spacing w:before="75" w:after="0"/>
      </w:pPr>
      <w:r>
        <w:rPr/>
        <w:t xml:space="preserve">一、  cpu算力</w:t>
      </w:r>
    </w:p>
    <w:p>
      <w:pPr>
        <w:spacing w:before="75" w:after="0"/>
      </w:pPr>
      <w:r>
        <w:rPr/>
        <w:t xml:space="preserve">二、  gpu算力</w:t>
      </w:r>
    </w:p>
    <w:p>
      <w:pPr>
        <w:spacing w:before="75" w:after="0"/>
      </w:pPr>
      <w:r>
        <w:rPr/>
        <w:t xml:space="preserve">三、  fpga算力</w:t>
      </w:r>
    </w:p>
    <w:p>
      <w:pPr>
        <w:spacing w:before="75" w:after="0"/>
      </w:pPr>
      <w:r>
        <w:rPr/>
        <w:t xml:space="preserve">四、  asic算力</w:t>
      </w:r>
    </w:p>
    <w:p>
      <w:pPr>
        <w:spacing w:before="75" w:after="0"/>
      </w:pPr>
      <w:r>
        <w:rPr/>
        <w:t xml:space="preserve">第三节  供给影响因素分析</w:t>
      </w:r>
    </w:p>
    <w:p>
      <w:pPr>
        <w:spacing w:before="75" w:after="0"/>
      </w:pPr>
      <w:r>
        <w:rPr/>
        <w:t xml:space="preserve">一、  技术创新</w:t>
      </w:r>
    </w:p>
    <w:p>
      <w:pPr>
        <w:spacing w:before="75" w:after="0"/>
      </w:pPr>
      <w:r>
        <w:rPr/>
        <w:t xml:space="preserve">二、  产能扩张</w:t>
      </w:r>
    </w:p>
    <w:p>
      <w:pPr>
        <w:spacing w:before="75" w:after="0"/>
      </w:pPr>
      <w:r>
        <w:rPr/>
        <w:t xml:space="preserve">三、  成本控制</w:t>
      </w:r>
    </w:p>
    <w:p>
      <w:pPr>
        <w:spacing w:before="75" w:after="0"/>
      </w:pPr>
      <w:r>
        <w:rPr>
          <w:b w:val="1"/>
          <w:bCs w:val="1"/>
        </w:rPr>
        <w:t xml:space="preserve">第七章 北美算力行业市场竞争格局分析</w:t>
      </w:r>
    </w:p>
    <w:p>
      <w:pPr>
        <w:spacing w:before="75" w:after="0"/>
      </w:pPr>
      <w:r>
        <w:rPr/>
        <w:t xml:space="preserve">第一节  市场集中度分析</w:t>
      </w:r>
    </w:p>
    <w:p>
      <w:pPr>
        <w:spacing w:before="75" w:after="0"/>
      </w:pPr>
      <w:r>
        <w:rPr/>
        <w:t xml:space="preserve">第二节  主要企业竞争策略</w:t>
      </w:r>
    </w:p>
    <w:p>
      <w:pPr>
        <w:spacing w:before="75" w:after="0"/>
      </w:pPr>
      <w:r>
        <w:rPr/>
        <w:t xml:space="preserve">一、  技术领先策略</w:t>
      </w:r>
    </w:p>
    <w:p>
      <w:pPr>
        <w:spacing w:before="75" w:after="0"/>
      </w:pPr>
      <w:r>
        <w:rPr/>
        <w:t xml:space="preserve">二、  成本领先策略</w:t>
      </w:r>
    </w:p>
    <w:p>
      <w:pPr>
        <w:spacing w:before="75" w:after="0"/>
      </w:pPr>
      <w:r>
        <w:rPr/>
        <w:t xml:space="preserve">三、  差异化策略</w:t>
      </w:r>
    </w:p>
    <w:p>
      <w:pPr>
        <w:spacing w:before="75" w:after="0"/>
      </w:pPr>
      <w:r>
        <w:rPr/>
        <w:t xml:space="preserve">第三节  新进入者威胁与潜在竞争分析</w:t>
      </w:r>
    </w:p>
    <w:p>
      <w:pPr>
        <w:spacing w:before="75" w:after="0"/>
      </w:pPr>
      <w:r>
        <w:rPr>
          <w:b w:val="1"/>
          <w:bCs w:val="1"/>
        </w:rPr>
        <w:t xml:space="preserve">第八章 北美算力行业关键技术分析</w:t>
      </w:r>
    </w:p>
    <w:p>
      <w:pPr>
        <w:spacing w:before="75" w:after="0"/>
      </w:pPr>
      <w:r>
        <w:rPr/>
        <w:t xml:space="preserve">第一节  芯片技术</w:t>
      </w:r>
    </w:p>
    <w:p>
      <w:pPr>
        <w:spacing w:before="75" w:after="0"/>
      </w:pPr>
      <w:r>
        <w:rPr/>
        <w:t xml:space="preserve">一、  先进制程芯片发展</w:t>
      </w:r>
    </w:p>
    <w:p>
      <w:pPr>
        <w:spacing w:before="75" w:after="0"/>
      </w:pPr>
      <w:r>
        <w:rPr/>
        <w:t xml:space="preserve">二、  异构芯片技术</w:t>
      </w:r>
    </w:p>
    <w:p>
      <w:pPr>
        <w:spacing w:before="75" w:after="0"/>
      </w:pPr>
      <w:r>
        <w:rPr/>
        <w:t xml:space="preserve">第二节  数据中心技术</w:t>
      </w:r>
    </w:p>
    <w:p>
      <w:pPr>
        <w:spacing w:before="75" w:after="0"/>
      </w:pPr>
      <w:r>
        <w:rPr/>
        <w:t xml:space="preserve">一、  绿色数据中心技术</w:t>
      </w:r>
    </w:p>
    <w:p>
      <w:pPr>
        <w:spacing w:before="75" w:after="0"/>
      </w:pPr>
      <w:r>
        <w:rPr/>
        <w:t xml:space="preserve">二、  超大规模数据中心技术</w:t>
      </w:r>
    </w:p>
    <w:p>
      <w:pPr>
        <w:spacing w:before="75" w:after="0"/>
      </w:pPr>
      <w:r>
        <w:rPr/>
        <w:t xml:space="preserve">第三节  网络通信技术</w:t>
      </w:r>
    </w:p>
    <w:p>
      <w:pPr>
        <w:spacing w:before="75" w:after="0"/>
      </w:pPr>
      <w:r>
        <w:rPr/>
        <w:t xml:space="preserve">一、  高速网络传输技术</w:t>
      </w:r>
    </w:p>
    <w:p>
      <w:pPr>
        <w:spacing w:before="75" w:after="0"/>
      </w:pPr>
      <w:r>
        <w:rPr/>
        <w:t xml:space="preserve">二、  低延迟网络技术</w:t>
      </w:r>
    </w:p>
    <w:p>
      <w:pPr>
        <w:spacing w:before="75" w:after="0"/>
      </w:pPr>
      <w:r>
        <w:rPr>
          <w:b w:val="1"/>
          <w:bCs w:val="1"/>
        </w:rPr>
        <w:t xml:space="preserve">第九章 北美算力行业应用领域分析</w:t>
      </w:r>
    </w:p>
    <w:p>
      <w:pPr>
        <w:spacing w:before="75" w:after="0"/>
      </w:pPr>
      <w:r>
        <w:rPr/>
        <w:t xml:space="preserve">第一节  人工智能领域</w:t>
      </w:r>
    </w:p>
    <w:p>
      <w:pPr>
        <w:spacing w:before="75" w:after="0"/>
      </w:pPr>
      <w:r>
        <w:rPr/>
        <w:t xml:space="preserve">一、  机器学习训练与推理</w:t>
      </w:r>
    </w:p>
    <w:p>
      <w:pPr>
        <w:spacing w:before="75" w:after="0"/>
      </w:pPr>
      <w:r>
        <w:rPr/>
        <w:t xml:space="preserve">二、  自然语言处理</w:t>
      </w:r>
    </w:p>
    <w:p>
      <w:pPr>
        <w:spacing w:before="75" w:after="0"/>
      </w:pPr>
      <w:r>
        <w:rPr/>
        <w:t xml:space="preserve">三、  计算机视觉</w:t>
      </w:r>
    </w:p>
    <w:p>
      <w:pPr>
        <w:spacing w:before="75" w:after="0"/>
      </w:pPr>
      <w:r>
        <w:rPr/>
        <w:t xml:space="preserve">第二节  大数据分析领域</w:t>
      </w:r>
    </w:p>
    <w:p>
      <w:pPr>
        <w:spacing w:before="75" w:after="0"/>
      </w:pPr>
      <w:r>
        <w:rPr/>
        <w:t xml:space="preserve">一、  数据存储与管理</w:t>
      </w:r>
    </w:p>
    <w:p>
      <w:pPr>
        <w:spacing w:before="75" w:after="0"/>
      </w:pPr>
      <w:r>
        <w:rPr/>
        <w:t xml:space="preserve">二、  数据分析与挖掘</w:t>
      </w:r>
    </w:p>
    <w:p>
      <w:pPr>
        <w:spacing w:before="75" w:after="0"/>
      </w:pPr>
      <w:r>
        <w:rPr/>
        <w:t xml:space="preserve">第三节  区块链领域</w:t>
      </w:r>
    </w:p>
    <w:p>
      <w:pPr>
        <w:spacing w:before="75" w:after="0"/>
      </w:pPr>
      <w:r>
        <w:rPr/>
        <w:t xml:space="preserve">一、  挖矿算力需求</w:t>
      </w:r>
    </w:p>
    <w:p>
      <w:pPr>
        <w:spacing w:before="75" w:after="0"/>
      </w:pPr>
      <w:r>
        <w:rPr/>
        <w:t xml:space="preserve">二、  智能合约运行</w:t>
      </w:r>
    </w:p>
    <w:p>
      <w:pPr>
        <w:spacing w:before="75" w:after="0"/>
      </w:pPr>
      <w:r>
        <w:rPr>
          <w:b w:val="1"/>
          <w:bCs w:val="1"/>
        </w:rPr>
        <w:t xml:space="preserve">第十章 北美算力行业政策法规分析</w:t>
      </w:r>
    </w:p>
    <w:p>
      <w:pPr>
        <w:spacing w:before="75" w:after="0"/>
      </w:pPr>
      <w:r>
        <w:rPr/>
        <w:t xml:space="preserve">第一节  现有政策法规梳理</w:t>
      </w:r>
    </w:p>
    <w:p>
      <w:pPr>
        <w:spacing w:before="75" w:after="0"/>
      </w:pPr>
      <w:r>
        <w:rPr/>
        <w:t xml:space="preserve">一、  产业扶持政策</w:t>
      </w:r>
    </w:p>
    <w:p>
      <w:pPr>
        <w:spacing w:before="75" w:after="0"/>
      </w:pPr>
      <w:r>
        <w:rPr/>
        <w:t xml:space="preserve">二、  数据安全与隐私保护法规</w:t>
      </w:r>
    </w:p>
    <w:p>
      <w:pPr>
        <w:spacing w:before="75" w:after="0"/>
      </w:pPr>
      <w:r>
        <w:rPr/>
        <w:t xml:space="preserve">第二节  政策法规对行业的影响</w:t>
      </w:r>
    </w:p>
    <w:p>
      <w:pPr>
        <w:spacing w:before="75" w:after="0"/>
      </w:pPr>
      <w:r>
        <w:rPr/>
        <w:t xml:space="preserve">一、  促进作用</w:t>
      </w:r>
    </w:p>
    <w:p>
      <w:pPr>
        <w:spacing w:before="75" w:after="0"/>
      </w:pPr>
      <w:r>
        <w:rPr/>
        <w:t xml:space="preserve">二、  约束作用</w:t>
      </w:r>
    </w:p>
    <w:p>
      <w:pPr>
        <w:spacing w:before="75" w:after="0"/>
      </w:pPr>
      <w:r>
        <w:rPr/>
        <w:t xml:space="preserve">第三节  政策法规发展趋势预测</w:t>
      </w:r>
    </w:p>
    <w:p>
      <w:pPr>
        <w:spacing w:before="75" w:after="0"/>
      </w:pPr>
      <w:r>
        <w:rPr>
          <w:b w:val="1"/>
          <w:bCs w:val="1"/>
        </w:rPr>
        <w:t xml:space="preserve">第十一章 北美主要国家算力行业发展分析</w:t>
      </w:r>
    </w:p>
    <w:p>
      <w:pPr>
        <w:spacing w:before="75" w:after="0"/>
      </w:pPr>
      <w:r>
        <w:rPr/>
        <w:t xml:space="preserve">第一节  美国算力行业发展</w:t>
      </w:r>
    </w:p>
    <w:p>
      <w:pPr>
        <w:spacing w:before="75" w:after="0"/>
      </w:pPr>
      <w:r>
        <w:rPr/>
        <w:t xml:space="preserve">一、  市场规模与增长</w:t>
      </w:r>
    </w:p>
    <w:p>
      <w:pPr>
        <w:spacing w:before="75" w:after="0"/>
      </w:pPr>
      <w:r>
        <w:rPr/>
        <w:t xml:space="preserve">二、  企业竞争格局</w:t>
      </w:r>
    </w:p>
    <w:p>
      <w:pPr>
        <w:spacing w:before="75" w:after="0"/>
      </w:pPr>
      <w:r>
        <w:rPr/>
        <w:t xml:space="preserve">三、  政策支持与发展战略</w:t>
      </w:r>
    </w:p>
    <w:p>
      <w:pPr>
        <w:spacing w:before="75" w:after="0"/>
      </w:pPr>
      <w:r>
        <w:rPr/>
        <w:t xml:space="preserve">第二节  加拿大算力行业发展</w:t>
      </w:r>
    </w:p>
    <w:p>
      <w:pPr>
        <w:spacing w:before="75" w:after="0"/>
      </w:pPr>
      <w:r>
        <w:rPr/>
        <w:t xml:space="preserve">一、  市场规模与增长</w:t>
      </w:r>
    </w:p>
    <w:p>
      <w:pPr>
        <w:spacing w:before="75" w:after="0"/>
      </w:pPr>
      <w:r>
        <w:rPr/>
        <w:t xml:space="preserve">二、  企业竞争格局</w:t>
      </w:r>
    </w:p>
    <w:p>
      <w:pPr>
        <w:spacing w:before="75" w:after="0"/>
      </w:pPr>
      <w:r>
        <w:rPr/>
        <w:t xml:space="preserve">三、  政策支持与发展战略</w:t>
      </w:r>
    </w:p>
    <w:p>
      <w:pPr>
        <w:spacing w:before="75" w:after="0"/>
      </w:pPr>
      <w:r>
        <w:rPr>
          <w:b w:val="1"/>
          <w:bCs w:val="1"/>
        </w:rPr>
        <w:t xml:space="preserve">第十二章 北美算力行业与其他地区的比较分析</w:t>
      </w:r>
    </w:p>
    <w:p>
      <w:pPr>
        <w:spacing w:before="75" w:after="0"/>
      </w:pPr>
      <w:r>
        <w:rPr/>
        <w:t xml:space="preserve">第一节  与亚洲地区的比较</w:t>
      </w:r>
    </w:p>
    <w:p>
      <w:pPr>
        <w:spacing w:before="75" w:after="0"/>
      </w:pPr>
      <w:r>
        <w:rPr/>
        <w:t xml:space="preserve">一、  市场规模与增长速度</w:t>
      </w:r>
    </w:p>
    <w:p>
      <w:pPr>
        <w:spacing w:before="75" w:after="0"/>
      </w:pPr>
      <w:r>
        <w:rPr/>
        <w:t xml:space="preserve">二、  技术水平与创新能力</w:t>
      </w:r>
    </w:p>
    <w:p>
      <w:pPr>
        <w:spacing w:before="75" w:after="0"/>
      </w:pPr>
      <w:r>
        <w:rPr/>
        <w:t xml:space="preserve">三、  产业政策与发展环境</w:t>
      </w:r>
    </w:p>
    <w:p>
      <w:pPr>
        <w:spacing w:before="75" w:after="0"/>
      </w:pPr>
      <w:r>
        <w:rPr/>
        <w:t xml:space="preserve">第二节  与欧洲地区的比较</w:t>
      </w:r>
    </w:p>
    <w:p>
      <w:pPr>
        <w:spacing w:before="75" w:after="0"/>
      </w:pPr>
      <w:r>
        <w:rPr/>
        <w:t xml:space="preserve">一、  市场规模与增长速度</w:t>
      </w:r>
    </w:p>
    <w:p>
      <w:pPr>
        <w:spacing w:before="75" w:after="0"/>
      </w:pPr>
      <w:r>
        <w:rPr/>
        <w:t xml:space="preserve">二、  技术水平与创新能力</w:t>
      </w:r>
    </w:p>
    <w:p>
      <w:pPr>
        <w:spacing w:before="75" w:after="0"/>
      </w:pPr>
      <w:r>
        <w:rPr/>
        <w:t xml:space="preserve">三、  产业政策与发展环境</w:t>
      </w:r>
    </w:p>
    <w:p>
      <w:pPr>
        <w:spacing w:before="75" w:after="0"/>
      </w:pPr>
      <w:r>
        <w:rPr>
          <w:b w:val="1"/>
          <w:bCs w:val="1"/>
        </w:rPr>
        <w:t xml:space="preserve">第十三章 北美算力行业发展趋势分析</w:t>
      </w:r>
    </w:p>
    <w:p>
      <w:pPr>
        <w:spacing w:before="75" w:after="0"/>
      </w:pPr>
      <w:r>
        <w:rPr/>
        <w:t xml:space="preserve">第一节  技术发展趋势</w:t>
      </w:r>
    </w:p>
    <w:p>
      <w:pPr>
        <w:spacing w:before="75" w:after="0"/>
      </w:pPr>
      <w:r>
        <w:rPr/>
        <w:t xml:space="preserve">一、  更高性能芯片技术</w:t>
      </w:r>
    </w:p>
    <w:p>
      <w:pPr>
        <w:spacing w:before="75" w:after="0"/>
      </w:pPr>
      <w:r>
        <w:rPr/>
        <w:t xml:space="preserve">二、  更高效的数据中心技术</w:t>
      </w:r>
    </w:p>
    <w:p>
      <w:pPr>
        <w:spacing w:before="75" w:after="0"/>
      </w:pPr>
      <w:r>
        <w:rPr/>
        <w:t xml:space="preserve">三、  更智能的算力调度技术</w:t>
      </w:r>
    </w:p>
    <w:p>
      <w:pPr>
        <w:spacing w:before="75" w:after="0"/>
      </w:pPr>
      <w:r>
        <w:rPr/>
        <w:t xml:space="preserve">第二节  市场发展趋势</w:t>
      </w:r>
    </w:p>
    <w:p>
      <w:pPr>
        <w:spacing w:before="75" w:after="0"/>
      </w:pPr>
      <w:r>
        <w:rPr/>
        <w:t xml:space="preserve">四、  市场规模持续增长</w:t>
      </w:r>
    </w:p>
    <w:p>
      <w:pPr>
        <w:spacing w:before="75" w:after="0"/>
      </w:pPr>
      <w:r>
        <w:rPr/>
        <w:t xml:space="preserve">五、  市场结构优化升级</w:t>
      </w:r>
    </w:p>
    <w:p>
      <w:pPr>
        <w:spacing w:before="75" w:after="0"/>
      </w:pPr>
      <w:r>
        <w:rPr/>
        <w:t xml:space="preserve">六、  市场竞争更加激烈</w:t>
      </w:r>
    </w:p>
    <w:p>
      <w:pPr>
        <w:spacing w:before="75" w:after="0"/>
      </w:pPr>
      <w:r>
        <w:rPr/>
        <w:t xml:space="preserve">第三节  应用发展趋势</w:t>
      </w:r>
    </w:p>
    <w:p>
      <w:pPr>
        <w:spacing w:before="75" w:after="0"/>
      </w:pPr>
      <w:r>
        <w:rPr/>
        <w:t xml:space="preserve">一、  新兴应用领域不断涌现</w:t>
      </w:r>
    </w:p>
    <w:p>
      <w:pPr>
        <w:spacing w:before="75" w:after="0"/>
      </w:pPr>
      <w:r>
        <w:rPr/>
        <w:t xml:space="preserve">二、  现有应用领域深度拓展</w:t>
      </w:r>
    </w:p>
    <w:p>
      <w:pPr>
        <w:spacing w:before="75" w:after="0"/>
      </w:pPr>
      <w:r>
        <w:rPr>
          <w:b w:val="1"/>
          <w:bCs w:val="1"/>
        </w:rPr>
        <w:t xml:space="preserve">第十四章 北美算力行业投资分析</w:t>
      </w:r>
    </w:p>
    <w:p>
      <w:pPr>
        <w:spacing w:before="75" w:after="0"/>
      </w:pPr>
      <w:r>
        <w:rPr/>
        <w:t xml:space="preserve">第一节  投资现状与特点</w:t>
      </w:r>
    </w:p>
    <w:p>
      <w:pPr>
        <w:spacing w:before="75" w:after="0"/>
      </w:pPr>
      <w:r>
        <w:rPr/>
        <w:t xml:space="preserve">第二节  投资机会分析</w:t>
      </w:r>
    </w:p>
    <w:p>
      <w:pPr>
        <w:spacing w:before="75" w:after="0"/>
      </w:pPr>
      <w:r>
        <w:rPr/>
        <w:t xml:space="preserve">一、  技术创新领域</w:t>
      </w:r>
    </w:p>
    <w:p>
      <w:pPr>
        <w:spacing w:before="75" w:after="0"/>
      </w:pPr>
      <w:r>
        <w:rPr/>
        <w:t xml:space="preserve">二、  新兴应用领域</w:t>
      </w:r>
    </w:p>
    <w:p>
      <w:pPr>
        <w:spacing w:before="75" w:after="0"/>
      </w:pPr>
      <w:r>
        <w:rPr/>
        <w:t xml:space="preserve">三、  产业整合领域</w:t>
      </w:r>
    </w:p>
    <w:p>
      <w:pPr>
        <w:spacing w:before="75" w:after="0"/>
      </w:pPr>
      <w:r>
        <w:rPr/>
        <w:t xml:space="preserve">第三节  投资风险分析</w:t>
      </w:r>
    </w:p>
    <w:p>
      <w:pPr>
        <w:spacing w:before="75" w:after="0"/>
      </w:pPr>
      <w:r>
        <w:rPr/>
        <w:t xml:space="preserve">一、  技术风险</w:t>
      </w:r>
    </w:p>
    <w:p>
      <w:pPr>
        <w:spacing w:before="75" w:after="0"/>
      </w:pPr>
      <w:r>
        <w:rPr/>
        <w:t xml:space="preserve">二、  市场风险</w:t>
      </w:r>
    </w:p>
    <w:p>
      <w:pPr>
        <w:spacing w:before="75" w:after="0"/>
      </w:pPr>
      <w:r>
        <w:rPr/>
        <w:t xml:space="preserve">三、  政策风险</w:t>
      </w:r>
    </w:p>
    <w:p>
      <w:pPr>
        <w:spacing w:before="75" w:after="0"/>
      </w:pPr>
      <w:r>
        <w:rPr>
          <w:b w:val="1"/>
          <w:bCs w:val="1"/>
        </w:rPr>
        <w:t xml:space="preserve">第十五章 北美算力行业案例分析</w:t>
      </w:r>
    </w:p>
    <w:p>
      <w:pPr>
        <w:spacing w:before="75" w:after="0"/>
      </w:pPr>
      <w:r>
        <w:rPr/>
        <w:t xml:space="preserve">第一节  成功案例分析——nvidia(英伟达)——gpu算力霸主</w:t>
      </w:r>
    </w:p>
    <w:p>
      <w:pPr>
        <w:spacing w:before="75" w:after="0"/>
      </w:pPr>
      <w:r>
        <w:rPr/>
        <w:t xml:space="preserve">一、  企业发展模式</w:t>
      </w:r>
    </w:p>
    <w:p>
      <w:pPr>
        <w:spacing w:before="75" w:after="0"/>
      </w:pPr>
      <w:r>
        <w:rPr/>
        <w:t xml:space="preserve">二、  技术创新路径</w:t>
      </w:r>
    </w:p>
    <w:p>
      <w:pPr>
        <w:spacing w:before="75" w:after="0"/>
      </w:pPr>
      <w:r>
        <w:rPr/>
        <w:t xml:space="preserve">三、  市场竞争策略</w:t>
      </w:r>
    </w:p>
    <w:p>
      <w:pPr>
        <w:spacing w:before="75" w:after="0"/>
      </w:pPr>
      <w:r>
        <w:rPr/>
        <w:t xml:space="preserve">第二节  失败案例分析——silicon graphics international (sgi) —— 超算时代的陨落</w:t>
      </w:r>
    </w:p>
    <w:p>
      <w:pPr>
        <w:spacing w:before="75" w:after="0"/>
      </w:pPr>
      <w:r>
        <w:rPr/>
        <w:t xml:space="preserve">一、  失败原因剖析</w:t>
      </w:r>
    </w:p>
    <w:p>
      <w:pPr>
        <w:spacing w:before="75" w:after="0"/>
      </w:pPr>
      <w:r>
        <w:rPr/>
        <w:t xml:space="preserve">二、  经验教训总结</w:t>
      </w:r>
    </w:p>
    <w:p>
      <w:pPr>
        <w:spacing w:before="75" w:after="0"/>
      </w:pPr>
      <w:r>
        <w:rPr>
          <w:b w:val="1"/>
          <w:bCs w:val="1"/>
        </w:rPr>
        <w:t xml:space="preserve">第十六章 北美算力行业人才需求与培养分析</w:t>
      </w:r>
    </w:p>
    <w:p>
      <w:pPr>
        <w:spacing w:before="75" w:after="0"/>
      </w:pPr>
      <w:r>
        <w:rPr/>
        <w:t xml:space="preserve">第一节  人才需求现状与趋势</w:t>
      </w:r>
    </w:p>
    <w:p>
      <w:pPr>
        <w:spacing w:before="75" w:after="0"/>
      </w:pPr>
      <w:r>
        <w:rPr/>
        <w:t xml:space="preserve">第二节  人才培养体系分析</w:t>
      </w:r>
    </w:p>
    <w:p>
      <w:pPr>
        <w:spacing w:before="75" w:after="0"/>
      </w:pPr>
      <w:r>
        <w:rPr/>
        <w:t xml:space="preserve">一、  高校教育</w:t>
      </w:r>
    </w:p>
    <w:p>
      <w:pPr>
        <w:spacing w:before="75" w:after="0"/>
      </w:pPr>
      <w:r>
        <w:rPr/>
        <w:t xml:space="preserve">二、  职业培训</w:t>
      </w:r>
    </w:p>
    <w:p>
      <w:pPr>
        <w:spacing w:before="75" w:after="0"/>
      </w:pPr>
      <w:r>
        <w:rPr/>
        <w:t xml:space="preserve">三、  企业内部培养</w:t>
      </w:r>
    </w:p>
    <w:p>
      <w:pPr>
        <w:spacing w:before="75" w:after="0"/>
      </w:pPr>
      <w:r>
        <w:rPr/>
        <w:t xml:space="preserve">第三节  人才短缺问题与解决对策</w:t>
      </w:r>
    </w:p>
    <w:p>
      <w:pPr>
        <w:spacing w:before="75" w:after="0"/>
      </w:pPr>
      <w:r>
        <w:rPr>
          <w:b w:val="1"/>
          <w:bCs w:val="1"/>
        </w:rPr>
        <w:t xml:space="preserve">第十七章 北美算力行业可持续发展分析</w:t>
      </w:r>
    </w:p>
    <w:p>
      <w:pPr>
        <w:spacing w:before="75" w:after="0"/>
      </w:pPr>
      <w:r>
        <w:rPr/>
        <w:t xml:space="preserve">第一节  能源消耗与环境影响</w:t>
      </w:r>
    </w:p>
    <w:p>
      <w:pPr>
        <w:spacing w:before="75" w:after="0"/>
      </w:pPr>
      <w:r>
        <w:rPr/>
        <w:t xml:space="preserve">第二节  绿色算力发展策略</w:t>
      </w:r>
    </w:p>
    <w:p>
      <w:pPr>
        <w:spacing w:before="75" w:after="0"/>
      </w:pPr>
      <w:r>
        <w:rPr/>
        <w:t xml:space="preserve">一、  节能技术应用</w:t>
      </w:r>
    </w:p>
    <w:p>
      <w:pPr>
        <w:spacing w:before="75" w:after="0"/>
      </w:pPr>
      <w:r>
        <w:rPr/>
        <w:t xml:space="preserve">二、  可再生能源利用</w:t>
      </w:r>
    </w:p>
    <w:p>
      <w:pPr>
        <w:spacing w:before="75" w:after="0"/>
      </w:pPr>
      <w:r>
        <w:rPr/>
        <w:t xml:space="preserve">第三节  可持续发展的政策支持与企业实践</w:t>
      </w:r>
    </w:p>
    <w:p>
      <w:pPr>
        <w:spacing w:before="75" w:after="0"/>
      </w:pPr>
      <w:r>
        <w:rPr>
          <w:b w:val="1"/>
          <w:bCs w:val="1"/>
        </w:rPr>
        <w:t xml:space="preserve">第十八章 北美算力行业面临的挑战与对策</w:t>
      </w:r>
    </w:p>
    <w:p>
      <w:pPr>
        <w:spacing w:before="75" w:after="0"/>
      </w:pPr>
      <w:r>
        <w:rPr/>
        <w:t xml:space="preserve">第一节  技术挑战与对策</w:t>
      </w:r>
    </w:p>
    <w:p>
      <w:pPr>
        <w:spacing w:before="75" w:after="0"/>
      </w:pPr>
      <w:r>
        <w:rPr/>
        <w:t xml:space="preserve">一、  芯片技术瓶颈</w:t>
      </w:r>
    </w:p>
    <w:p>
      <w:pPr>
        <w:spacing w:before="75" w:after="0"/>
      </w:pPr>
      <w:r>
        <w:rPr/>
        <w:t xml:space="preserve">二、  数据中心能耗问题</w:t>
      </w:r>
    </w:p>
    <w:p>
      <w:pPr>
        <w:spacing w:before="75" w:after="0"/>
      </w:pPr>
      <w:r>
        <w:rPr/>
        <w:t xml:space="preserve">三、  网络通信带宽限制</w:t>
      </w:r>
    </w:p>
    <w:p>
      <w:pPr>
        <w:spacing w:before="75" w:after="0"/>
      </w:pPr>
      <w:r>
        <w:rPr/>
        <w:t xml:space="preserve">第二节  市场挑战与对策</w:t>
      </w:r>
    </w:p>
    <w:p>
      <w:pPr>
        <w:spacing w:before="75" w:after="0"/>
      </w:pPr>
      <w:r>
        <w:rPr/>
        <w:t xml:space="preserve">一、  市场竞争激烈</w:t>
      </w:r>
    </w:p>
    <w:p>
      <w:pPr>
        <w:spacing w:before="75" w:after="0"/>
      </w:pPr>
      <w:r>
        <w:rPr/>
        <w:t xml:space="preserve">二、  市场需求不确定性</w:t>
      </w:r>
    </w:p>
    <w:p>
      <w:pPr>
        <w:spacing w:before="75" w:after="0"/>
      </w:pPr>
      <w:r>
        <w:rPr/>
        <w:t xml:space="preserve">三、  市场价格波动</w:t>
      </w:r>
    </w:p>
    <w:p>
      <w:pPr>
        <w:spacing w:before="75" w:after="0"/>
      </w:pPr>
      <w:r>
        <w:rPr/>
        <w:t xml:space="preserve">第三节  政策挑战与对策</w:t>
      </w:r>
    </w:p>
    <w:p>
      <w:pPr>
        <w:spacing w:before="75" w:after="0"/>
      </w:pPr>
      <w:r>
        <w:rPr/>
        <w:t xml:space="preserve">一、  政策法规变化</w:t>
      </w:r>
    </w:p>
    <w:p>
      <w:pPr>
        <w:spacing w:before="75" w:after="0"/>
      </w:pPr>
      <w:r>
        <w:rPr/>
        <w:t xml:space="preserve">二、  国际贸易摩擦</w:t>
      </w:r>
    </w:p>
    <w:p>
      <w:pPr>
        <w:spacing w:before="75" w:after="0"/>
      </w:pPr>
      <w:r>
        <w:rPr>
          <w:b w:val="1"/>
          <w:bCs w:val="1"/>
        </w:rPr>
        <w:t xml:space="preserve">第十九章 2026-2031年北美算力行业预测与展望</w:t>
      </w:r>
    </w:p>
    <w:p>
      <w:pPr>
        <w:spacing w:before="75" w:after="0"/>
      </w:pPr>
      <w:r>
        <w:rPr/>
        <w:t xml:space="preserve">第一节  市场规模预测</w:t>
      </w:r>
    </w:p>
    <w:p>
      <w:pPr>
        <w:spacing w:before="75" w:after="0"/>
      </w:pPr>
      <w:r>
        <w:rPr/>
        <w:t xml:space="preserve">第二节  技术发展预测</w:t>
      </w:r>
    </w:p>
    <w:p>
      <w:pPr>
        <w:spacing w:before="75" w:after="0"/>
      </w:pPr>
      <w:r>
        <w:rPr/>
        <w:t xml:space="preserve">第三节  应用领域拓展预测</w:t>
      </w:r>
    </w:p>
    <w:p>
      <w:pPr>
        <w:spacing w:before="75" w:after="0"/>
      </w:pPr>
      <w:r>
        <w:rPr/>
        <w:t xml:space="preserve">第四节  行业发展趋势展望</w:t>
      </w:r>
    </w:p>
    <w:p>
      <w:pPr>
        <w:spacing w:before="75" w:after="0"/>
      </w:pPr>
      <w:r>
        <w:rPr>
          <w:b w:val="1"/>
          <w:bCs w:val="1"/>
        </w:rPr>
        <w:t xml:space="preserve">第二十章 研究结论与建议</w:t>
      </w:r>
    </w:p>
    <w:p>
      <w:pPr>
        <w:spacing w:before="75" w:after="0"/>
      </w:pPr>
      <w:r>
        <w:rPr/>
        <w:t xml:space="preserve">第一节  研究结论总结</w:t>
      </w:r>
    </w:p>
    <w:p>
      <w:pPr>
        <w:spacing w:before="75" w:after="0"/>
      </w:pPr>
      <w:r>
        <w:rPr/>
        <w:t xml:space="preserve">第二节  对企业的建议</w:t>
      </w:r>
    </w:p>
    <w:p>
      <w:pPr>
        <w:spacing w:before="75" w:after="0"/>
      </w:pPr>
      <w:r>
        <w:rPr/>
        <w:t xml:space="preserve">一、  技术创新建议</w:t>
      </w:r>
    </w:p>
    <w:p>
      <w:pPr>
        <w:spacing w:before="75" w:after="0"/>
      </w:pPr>
      <w:r>
        <w:rPr/>
        <w:t xml:space="preserve">二、  市场拓展建议</w:t>
      </w:r>
    </w:p>
    <w:p>
      <w:pPr>
        <w:spacing w:before="75" w:after="0"/>
      </w:pPr>
      <w:r>
        <w:rPr/>
        <w:t xml:space="preserve">三、  人才培养建议</w:t>
      </w:r>
    </w:p>
    <w:p>
      <w:pPr>
        <w:spacing w:before="75" w:after="0"/>
      </w:pPr>
      <w:r>
        <w:rPr/>
        <w:t xml:space="preserve">第三节  对政府的建议</w:t>
      </w:r>
    </w:p>
    <w:p>
      <w:pPr>
        <w:spacing w:before="75" w:after="0"/>
      </w:pPr>
      <w:r>
        <w:rPr/>
        <w:t xml:space="preserve">一、  产业政策制定建议</w:t>
      </w:r>
    </w:p>
    <w:p>
      <w:pPr>
        <w:spacing w:before="75" w:after="0"/>
      </w:pPr>
      <w:r>
        <w:rPr/>
        <w:t xml:space="preserve">二、  基础设施建设建议</w:t>
      </w:r>
    </w:p>
    <w:p>
      <w:pPr>
        <w:spacing w:before="75" w:after="0"/>
      </w:pPr>
      <w:r>
        <w:rPr/>
        <w:t xml:space="preserve">三、  人才培养与引进建议</w:t>
      </w:r>
    </w:p>
    <w:p>
      <w:pPr>
        <w:spacing w:before="75" w:after="0"/>
      </w:pPr>
      <w:r>
        <w:rPr>
          <w:b w:val="1"/>
          <w:bCs w:val="1"/>
        </w:rPr>
        <w:t xml:space="preserve">图表目录</w:t>
      </w:r>
    </w:p>
    <w:p>
      <w:pPr>
        <w:spacing w:before="75" w:after="0"/>
      </w:pPr>
      <w:r>
        <w:rPr/>
        <w:t xml:space="preserve">图表：北美地区经济增长趋势图</w:t>
      </w:r>
    </w:p>
    <w:p>
      <w:pPr>
        <w:spacing w:before="75" w:after="0"/>
      </w:pPr>
      <w:r>
        <w:rPr/>
        <w:t xml:space="preserve">图表：北美算力行业市场规模增长趋势图</w:t>
      </w:r>
    </w:p>
    <w:p>
      <w:pPr>
        <w:spacing w:before="75" w:after="0"/>
      </w:pPr>
      <w:r>
        <w:rPr/>
        <w:t xml:space="preserve">图表：北美算力行业市场结构占比图</w:t>
      </w:r>
    </w:p>
    <w:p>
      <w:pPr>
        <w:spacing w:before="75" w:after="0"/>
      </w:pPr>
      <w:r>
        <w:rPr/>
        <w:t xml:space="preserve">图表：北美不同类型算力供给占比图</w:t>
      </w:r>
    </w:p>
    <w:p>
      <w:pPr>
        <w:spacing w:before="75" w:after="0"/>
      </w:pPr>
      <w:r>
        <w:rPr/>
        <w:t xml:space="preserve">图表：北美算力行业市场集中度分析图</w:t>
      </w:r>
    </w:p>
    <w:p>
      <w:pPr>
        <w:spacing w:before="75" w:after="0"/>
      </w:pPr>
      <w:r>
        <w:rPr/>
        <w:t xml:space="preserve">图表：美国算力行业市场规模增长趋势图</w:t>
      </w:r>
    </w:p>
    <w:p>
      <w:pPr>
        <w:spacing w:before="75" w:after="0"/>
      </w:pPr>
      <w:r>
        <w:rPr/>
        <w:t xml:space="preserve">图表：加拿大算力行业市场规模增长趋势图</w:t>
      </w:r>
    </w:p>
    <w:p>
      <w:pPr>
        <w:spacing w:before="75" w:after="0"/>
      </w:pPr>
      <w:r>
        <w:rPr/>
        <w:t xml:space="preserve">图表：北美算力行业产业链主要企业名单</w:t>
      </w:r>
    </w:p>
    <w:p>
      <w:pPr>
        <w:spacing w:before="75" w:after="0"/>
      </w:pPr>
      <w:r>
        <w:rPr/>
        <w:t xml:space="preserve">图表：北美算力行业关键技术发展情况对比表</w:t>
      </w:r>
    </w:p>
    <w:p>
      <w:pPr>
        <w:spacing w:before="75" w:after="0"/>
      </w:pPr>
      <w:r>
        <w:rPr/>
        <w:t xml:space="preserve">图表：北美算力行业不同应用领域需求规模预测表</w:t>
      </w:r>
    </w:p>
    <w:p>
      <w:pPr>
        <w:spacing w:before="75" w:after="0"/>
      </w:pPr>
      <w:r>
        <w:rPr/>
        <w:t xml:space="preserve">图表：北美算力行业投资机会与风险评估表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北美算力行业市场发展分析及企业案例与前景展望研究报告(2026-2031版)</dc:title>
  <dc:description>北美算力行业市场发展分析及企业案例与前景展望研究报告(2026-2031版)</dc:description>
  <dc:subject>北美算力行业市场发展分析及企业案例与前景展望研究报告(2026-2031版)</dc:subject>
  <cp:keywords>研究报告</cp:keywords>
  <cp:category>研究报告</cp:category>
  <cp:lastModifiedBy>北京中道泰和信息咨询有限公司</cp:lastModifiedBy>
  <dcterms:created xsi:type="dcterms:W3CDTF">2026-04-08T16:36:32+08:00</dcterms:created>
  <dcterms:modified xsi:type="dcterms:W3CDTF">2026-04-08T16:36:32+08:00</dcterms:modified>
</cp:coreProperties>
</file>

<file path=docProps/custom.xml><?xml version="1.0" encoding="utf-8"?>
<Properties xmlns="http://schemas.openxmlformats.org/officeDocument/2006/custom-properties" xmlns:vt="http://schemas.openxmlformats.org/officeDocument/2006/docPropsVTypes"/>
</file>