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中国多孔碳行业市场发展分析及企业案例与投资策略研究报告(2026-2031版)</w:t>
      </w:r>
    </w:p>
    <w:p>
      <w:pPr>
        <w:spacing w:after="150"/>
      </w:pPr>
      <w:r>
        <w:rPr>
          <w:b w:val="1"/>
          <w:bCs w:val="1"/>
        </w:rPr>
        <w:t xml:space="preserve">报告简介</w:t>
      </w:r>
    </w:p>
    <w:p>
      <w:pPr>
        <w:spacing w:after="150"/>
      </w:pPr>
      <w:r>
        <w:rPr/>
        <w:t xml:space="preserve">多孔碳是一种具有丰富孔隙结构的碳材料，其孔隙类型多样，包括微孔、介孔和大孔等。这些孔隙的存在为多孔碳赋予了诸多独特的性能。从微观结构来看，多孔碳的孔道纵横交错，孔壁通常由石墨碳或无定形碳组成。其比表面积大，可达数千平方米每克，这使得它在吸附、催化等领域有着广泛的应用基础。多孔碳的制备方法多样，可通过化学活化、物理活化等手段对前驱体进行处理来获得。不同的制备工艺和前驱体选择，会使其孔隙结构、孔径分布以及表面化学性质等产生差异，从而影响其在具体应用中的表现，是一种极具发展潜力的材料。</w:t>
      </w:r>
    </w:p>
    <w:p>
      <w:pPr>
        <w:spacing w:after="150"/>
      </w:pPr>
      <w:r>
        <w:rPr/>
        <w:t xml:space="preserve">多孔碳行业的重要性不言而喻，在能源存储领域，它作为超级电容器的电极材料，能够实现快速充放电，为新能源汽车、电子设备等提供高效能量存储解决方案;在环境治理方面，凭借其优异的吸附性能，可有效去除水体中的重金属离子、有机污染物以及空气中的有害气体，助力环境保护。随着科技的不断进步，多孔碳的应用场景还在持续拓展，例如在生物医学领域，可用于药物缓释载体等。其发展前途广阔，一方面，随着对多孔碳性能要求的提高，研发高性能、多功能的多孔碳材料成为热点，这将推动相关技术不断创新;另一方面，新能源产业的蓬勃发展以及对环境保护的高度重视，为多孔碳行业提供了巨大的市场需求，有望在未来实现规模化、产业化发展，创造可观的经济效益和社会效益。</w:t>
      </w:r>
    </w:p>
    <w:p>
      <w:pPr>
        <w:spacing w:after="150"/>
      </w:pPr>
      <w:r>
        <w:rPr/>
        <w:t xml:space="preserve">多孔碳研究报告对多孔碳行业研究的内容和方法进行全面的阐述和论证，对研究过程中所获取的多孔碳资料进行全面系统的整理和分析，通过图表、统计结果及文献资料，或以纵向的发展过程，或横向类别分析提出论点、分析论据，进行论证。多孔碳报告绝对如实地反映客观情况，叙述、说明、推断、引用均恰如其分。文字、用词应力求准确。研究报告的文字也简单、明了、通顺、流畅，既明白如话，又把研究的效果准确地、科学地表达出来。多孔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孔碳行业的发展状况进行了深入透彻地分析，对我国行业市场情况、技术现状、供需形势作了详尽研究，重点分析了国内外重点企业、行业发展趋势以及行业投资情况，报告还对多孔碳下游行业的发展进行了探讨，是多孔碳及相关企业、投资部门、研究机构准确了解目前中国市场发展动态，把握多孔碳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行业概述与战略定位</w:t>
      </w:r>
    </w:p>
    <w:p>
      <w:pPr>
        <w:spacing w:before="75" w:after="0"/>
      </w:pPr>
      <w:r>
        <w:rPr/>
        <w:t xml:space="preserve">第一节 多孔碳材料基础属性与产业定位</w:t>
      </w:r>
    </w:p>
    <w:p>
      <w:pPr>
        <w:spacing w:before="75" w:after="0"/>
      </w:pPr>
      <w:r>
        <w:rPr/>
        <w:t xml:space="preserve">一、多孔碳材料定义、分类及性能特征</w:t>
      </w:r>
    </w:p>
    <w:p>
      <w:pPr>
        <w:spacing w:before="75" w:after="0"/>
      </w:pPr>
      <w:r>
        <w:rPr/>
        <w:t xml:space="preserve">(一)微孔</w:t>
      </w:r>
    </w:p>
    <w:p>
      <w:pPr>
        <w:spacing w:before="75" w:after="0"/>
      </w:pPr>
      <w:r>
        <w:rPr/>
        <w:t xml:space="preserve">(二)介孔</w:t>
      </w:r>
    </w:p>
    <w:p>
      <w:pPr>
        <w:spacing w:before="75" w:after="0"/>
      </w:pPr>
      <w:r>
        <w:rPr/>
        <w:t xml:space="preserve">(三)大孔碳</w:t>
      </w:r>
    </w:p>
    <w:p>
      <w:pPr>
        <w:spacing w:before="75" w:after="0"/>
      </w:pPr>
      <w:r>
        <w:rPr/>
        <w:t xml:space="preserve">二、全球多孔碳技术演进路径(从活性炭到纳米多孔碳)</w:t>
      </w:r>
    </w:p>
    <w:p>
      <w:pPr>
        <w:spacing w:before="75" w:after="0"/>
      </w:pPr>
      <w:r>
        <w:rPr/>
        <w:t xml:space="preserve">三、中国多孔碳行业在碳中和目标下的战略价值</w:t>
      </w:r>
    </w:p>
    <w:p>
      <w:pPr>
        <w:spacing w:before="75" w:after="0"/>
      </w:pPr>
      <w:r>
        <w:rPr/>
        <w:t xml:space="preserve">第二节 产业链全景图谱</w:t>
      </w:r>
    </w:p>
    <w:p>
      <w:pPr>
        <w:spacing w:before="75" w:after="0"/>
      </w:pPr>
      <w:r>
        <w:rPr/>
        <w:t xml:space="preserve">一、上游原材料供给格局</w:t>
      </w:r>
    </w:p>
    <w:p>
      <w:pPr>
        <w:spacing w:before="75" w:after="0"/>
      </w:pPr>
      <w:r>
        <w:rPr/>
        <w:t xml:space="preserve">(一)生物质</w:t>
      </w:r>
    </w:p>
    <w:p>
      <w:pPr>
        <w:spacing w:before="75" w:after="0"/>
      </w:pPr>
      <w:r>
        <w:rPr/>
        <w:t xml:space="preserve">(二)石油焦</w:t>
      </w:r>
    </w:p>
    <w:p>
      <w:pPr>
        <w:spacing w:before="75" w:after="0"/>
      </w:pPr>
      <w:r>
        <w:rPr/>
        <w:t xml:space="preserve">(三)煤沥青</w:t>
      </w:r>
    </w:p>
    <w:p>
      <w:pPr>
        <w:spacing w:before="75" w:after="0"/>
      </w:pPr>
      <w:r>
        <w:rPr/>
        <w:t xml:space="preserve">二、中游制备工艺对比</w:t>
      </w:r>
    </w:p>
    <w:p>
      <w:pPr>
        <w:spacing w:before="75" w:after="0"/>
      </w:pPr>
      <w:r>
        <w:rPr/>
        <w:t xml:space="preserve">(一)模板法</w:t>
      </w:r>
    </w:p>
    <w:p>
      <w:pPr>
        <w:spacing w:before="75" w:after="0"/>
      </w:pPr>
      <w:r>
        <w:rPr/>
        <w:t xml:space="preserve">(二)化学活化法</w:t>
      </w:r>
    </w:p>
    <w:p>
      <w:pPr>
        <w:spacing w:before="75" w:after="0"/>
      </w:pPr>
      <w:r>
        <w:rPr/>
        <w:t xml:space="preserve">(三)3d打印技术</w:t>
      </w:r>
    </w:p>
    <w:p>
      <w:pPr>
        <w:spacing w:before="75" w:after="0"/>
      </w:pPr>
      <w:r>
        <w:rPr/>
        <w:t xml:space="preserve">三、下游应用领域映射关系</w:t>
      </w:r>
    </w:p>
    <w:p>
      <w:pPr>
        <w:spacing w:before="75" w:after="0"/>
      </w:pPr>
      <w:r>
        <w:rPr>
          <w:b w:val="1"/>
          <w:bCs w:val="1"/>
        </w:rPr>
        <w:t xml:space="preserve">第二章 政策环境与监管框架</w:t>
      </w:r>
    </w:p>
    <w:p>
      <w:pPr>
        <w:spacing w:before="75" w:after="0"/>
      </w:pPr>
      <w:r>
        <w:rPr/>
        <w:t xml:space="preserve">第一节 国家层面产业扶持政策</w:t>
      </w:r>
    </w:p>
    <w:p>
      <w:pPr>
        <w:spacing w:before="75" w:after="0"/>
      </w:pPr>
      <w:r>
        <w:rPr/>
        <w:t xml:space="preserve">一、新材料领域共性技术攻关框架下的覆盖性支持</w:t>
      </w:r>
    </w:p>
    <w:p>
      <w:pPr>
        <w:spacing w:before="75" w:after="0"/>
      </w:pPr>
      <w:r>
        <w:rPr/>
        <w:t xml:space="preserve">二、双碳政策下环保材料补贴与税收优惠政策</w:t>
      </w:r>
    </w:p>
    <w:p>
      <w:pPr>
        <w:spacing w:before="75" w:after="0"/>
      </w:pPr>
      <w:r>
        <w:rPr/>
        <w:t xml:space="preserve">第二节 环保法规与技术标准</w:t>
      </w:r>
    </w:p>
    <w:p>
      <w:pPr>
        <w:spacing w:before="75" w:after="0"/>
      </w:pPr>
      <w:r>
        <w:rPr/>
        <w:t xml:space="preserve">一、vocs治理对多孔碳吸附材料的需求拉动</w:t>
      </w:r>
    </w:p>
    <w:p>
      <w:pPr>
        <w:spacing w:before="75" w:after="0"/>
      </w:pPr>
      <w:r>
        <w:rPr/>
        <w:t xml:space="preserve">二、欧盟pfas禁用法案对出口企业的合规挑战</w:t>
      </w:r>
    </w:p>
    <w:p>
      <w:pPr>
        <w:spacing w:before="75" w:after="0"/>
      </w:pPr>
      <w:r>
        <w:rPr/>
        <w:t xml:space="preserve">第三节 国际贸易与区域合作</w:t>
      </w:r>
    </w:p>
    <w:p>
      <w:pPr>
        <w:spacing w:before="75" w:after="0"/>
      </w:pPr>
      <w:r>
        <w:rPr/>
        <w:t xml:space="preserve">一、rcep框架下东南亚市场准入机制</w:t>
      </w:r>
    </w:p>
    <w:p>
      <w:pPr>
        <w:spacing w:before="75" w:after="0"/>
      </w:pPr>
      <w:r>
        <w:rPr/>
        <w:t xml:space="preserve">二、中美技术脱钩对高端多孔碳进口替代的影响</w:t>
      </w:r>
    </w:p>
    <w:p>
      <w:pPr>
        <w:spacing w:before="75" w:after="0"/>
      </w:pPr>
      <w:r>
        <w:rPr>
          <w:b w:val="1"/>
          <w:bCs w:val="1"/>
        </w:rPr>
        <w:t xml:space="preserve">第三章 产业链深度解析</w:t>
      </w:r>
    </w:p>
    <w:p>
      <w:pPr>
        <w:spacing w:before="75" w:after="0"/>
      </w:pPr>
      <w:r>
        <w:rPr/>
        <w:t xml:space="preserve">第一节 上游原材料市场博弈</w:t>
      </w:r>
    </w:p>
    <w:p>
      <w:pPr>
        <w:spacing w:before="75" w:after="0"/>
      </w:pPr>
      <w:r>
        <w:rPr/>
        <w:t xml:space="preserve">一、生物质基多孔碳原料供应稳定性分析</w:t>
      </w:r>
    </w:p>
    <w:p>
      <w:pPr>
        <w:spacing w:before="75" w:after="0"/>
      </w:pPr>
      <w:r>
        <w:rPr/>
        <w:t xml:space="preserve">二、石油焦价格波动对中游成本传导效应</w:t>
      </w:r>
    </w:p>
    <w:p>
      <w:pPr>
        <w:spacing w:before="75" w:after="0"/>
      </w:pPr>
      <w:r>
        <w:rPr/>
        <w:t xml:space="preserve">第二节 中游制备技术壁垒</w:t>
      </w:r>
    </w:p>
    <w:p>
      <w:pPr>
        <w:spacing w:before="75" w:after="0"/>
      </w:pPr>
      <w:r>
        <w:rPr/>
        <w:t xml:space="preserve">一、模板法规模化生产的能耗难题突破</w:t>
      </w:r>
    </w:p>
    <w:p>
      <w:pPr>
        <w:spacing w:before="75" w:after="0"/>
      </w:pPr>
      <w:r>
        <w:rPr/>
        <w:t xml:space="preserve">二、连续化活化设备国产化率提升路径</w:t>
      </w:r>
    </w:p>
    <w:p>
      <w:pPr>
        <w:spacing w:before="75" w:after="0"/>
      </w:pPr>
      <w:r>
        <w:rPr/>
        <w:t xml:space="preserve">第三节 下游应用场景拓展</w:t>
      </w:r>
    </w:p>
    <w:p>
      <w:pPr>
        <w:spacing w:before="75" w:after="0"/>
      </w:pPr>
      <w:r>
        <w:rPr/>
        <w:t xml:space="preserve">一、钠离子电池硬碳负极材料需求预测</w:t>
      </w:r>
    </w:p>
    <w:p>
      <w:pPr>
        <w:spacing w:before="75" w:after="0"/>
      </w:pPr>
      <w:r>
        <w:rPr/>
        <w:t xml:space="preserve">二、医用多孔碳支架生物相容性认证进展</w:t>
      </w:r>
    </w:p>
    <w:p>
      <w:pPr>
        <w:spacing w:before="75" w:after="0"/>
      </w:pPr>
      <w:r>
        <w:rPr>
          <w:b w:val="1"/>
          <w:bCs w:val="1"/>
        </w:rPr>
        <w:t xml:space="preserve">第四章 细分应用领域竞争格局</w:t>
      </w:r>
    </w:p>
    <w:p>
      <w:pPr>
        <w:spacing w:before="75" w:after="0"/>
      </w:pPr>
      <w:r>
        <w:rPr/>
        <w:t xml:space="preserve">第一节 新能源领域爆发式增长</w:t>
      </w:r>
    </w:p>
    <w:p>
      <w:pPr>
        <w:spacing w:before="75" w:after="0"/>
      </w:pPr>
      <w:r>
        <w:rPr/>
        <w:t xml:space="preserve">一、储能电池用多孔碳材料性能要求升级</w:t>
      </w:r>
    </w:p>
    <w:p>
      <w:pPr>
        <w:spacing w:before="75" w:after="0"/>
      </w:pPr>
      <w:r>
        <w:rPr/>
        <w:t xml:space="preserve">二、氢燃料电池气体扩散层(gdl)国产化替代</w:t>
      </w:r>
    </w:p>
    <w:p>
      <w:pPr>
        <w:spacing w:before="75" w:after="0"/>
      </w:pPr>
      <w:r>
        <w:rPr/>
        <w:t xml:space="preserve">第二节 环保领域需求升级</w:t>
      </w:r>
    </w:p>
    <w:p>
      <w:pPr>
        <w:spacing w:before="75" w:after="0"/>
      </w:pPr>
      <w:r>
        <w:rPr/>
        <w:t xml:space="preserve">一、工业废水处理用多孔碳吸附剂再生技术</w:t>
      </w:r>
    </w:p>
    <w:p>
      <w:pPr>
        <w:spacing w:before="75" w:after="0"/>
      </w:pPr>
      <w:r>
        <w:rPr/>
        <w:t xml:space="preserve">二、室内空气净化市场消费级产品开发</w:t>
      </w:r>
    </w:p>
    <w:p>
      <w:pPr>
        <w:spacing w:before="75" w:after="0"/>
      </w:pPr>
      <w:r>
        <w:rPr/>
        <w:t xml:space="preserve">第三节 医疗与高端制造突破</w:t>
      </w:r>
    </w:p>
    <w:p>
      <w:pPr>
        <w:spacing w:before="75" w:after="0"/>
      </w:pPr>
      <w:r>
        <w:rPr/>
        <w:t xml:space="preserve">一、血液透析用多孔碳膜材料进入临床前研究阶段</w:t>
      </w:r>
    </w:p>
    <w:p>
      <w:pPr>
        <w:spacing w:before="75" w:after="0"/>
      </w:pPr>
      <w:r>
        <w:rPr/>
        <w:t xml:space="preserve">二、航空航天热管理材料轻量化解决方案</w:t>
      </w:r>
    </w:p>
    <w:p>
      <w:pPr>
        <w:spacing w:before="75" w:after="0"/>
      </w:pPr>
      <w:r>
        <w:rPr>
          <w:b w:val="1"/>
          <w:bCs w:val="1"/>
        </w:rPr>
        <w:t xml:space="preserve">第五章 区域市场差异化发展</w:t>
      </w:r>
    </w:p>
    <w:p>
      <w:pPr>
        <w:spacing w:before="75" w:after="0"/>
      </w:pPr>
      <w:r>
        <w:rPr/>
        <w:t xml:space="preserve">第一节 华东地区产业集群效应</w:t>
      </w:r>
    </w:p>
    <w:p>
      <w:pPr>
        <w:spacing w:before="75" w:after="0"/>
      </w:pPr>
      <w:r>
        <w:rPr/>
        <w:t xml:space="preserve">第二节 西部地区资源禀赋优势</w:t>
      </w:r>
    </w:p>
    <w:p>
      <w:pPr>
        <w:spacing w:before="75" w:after="0"/>
      </w:pPr>
      <w:r>
        <w:rPr/>
        <w:t xml:space="preserve">第三节 东北老工业基地转型探索</w:t>
      </w:r>
    </w:p>
    <w:p>
      <w:pPr>
        <w:spacing w:before="75" w:after="0"/>
      </w:pPr>
      <w:r>
        <w:rPr>
          <w:b w:val="1"/>
          <w:bCs w:val="1"/>
        </w:rPr>
        <w:t xml:space="preserve">第六章 市场竞争与企业图谱</w:t>
      </w:r>
    </w:p>
    <w:p>
      <w:pPr>
        <w:spacing w:before="75" w:after="0"/>
      </w:pPr>
      <w:r>
        <w:rPr/>
        <w:t xml:space="preserve">第一节 市场集中度与竞争形态</w:t>
      </w:r>
    </w:p>
    <w:p>
      <w:pPr>
        <w:spacing w:before="75" w:after="0"/>
      </w:pPr>
      <w:r>
        <w:rPr/>
        <w:t xml:space="preserve">一、cr5企业市场份额动态监测</w:t>
      </w:r>
    </w:p>
    <w:p>
      <w:pPr>
        <w:spacing w:before="75" w:after="0"/>
      </w:pPr>
      <w:r>
        <w:rPr/>
        <w:t xml:space="preserve">二、专精特新企业技术突围路径</w:t>
      </w:r>
    </w:p>
    <w:p>
      <w:pPr>
        <w:spacing w:before="75" w:after="0"/>
      </w:pPr>
      <w:r>
        <w:rPr/>
        <w:t xml:space="preserve">第二节 跨国企业本土化策略</w:t>
      </w:r>
    </w:p>
    <w:p>
      <w:pPr>
        <w:spacing w:before="75" w:after="0"/>
      </w:pPr>
      <w:r>
        <w:rPr/>
        <w:t xml:space="preserve">一、日本可乐丽活性炭纤维中国市场布局</w:t>
      </w:r>
    </w:p>
    <w:p>
      <w:pPr>
        <w:spacing w:before="75" w:after="0"/>
      </w:pPr>
      <w:r>
        <w:rPr/>
        <w:t xml:space="preserve">二、德国西格里碳素在华专利壁垒分析</w:t>
      </w:r>
    </w:p>
    <w:p>
      <w:pPr>
        <w:spacing w:before="75" w:after="0"/>
      </w:pPr>
      <w:r>
        <w:rPr>
          <w:b w:val="1"/>
          <w:bCs w:val="1"/>
        </w:rPr>
        <w:t xml:space="preserve">第七章 技术创新与研发前沿</w:t>
      </w:r>
    </w:p>
    <w:p>
      <w:pPr>
        <w:spacing w:before="75" w:after="0"/>
      </w:pPr>
      <w:r>
        <w:rPr/>
        <w:t xml:space="preserve">第一节 制备工艺革命性突破</w:t>
      </w:r>
    </w:p>
    <w:p>
      <w:pPr>
        <w:spacing w:before="75" w:after="0"/>
      </w:pPr>
      <w:r>
        <w:rPr/>
        <w:t xml:space="preserve">第二节 功能性复合材料开发</w:t>
      </w:r>
    </w:p>
    <w:p>
      <w:pPr>
        <w:spacing w:before="75" w:after="0"/>
      </w:pPr>
      <w:r>
        <w:rPr>
          <w:b w:val="1"/>
          <w:bCs w:val="1"/>
        </w:rPr>
        <w:t xml:space="preserve">第八章 财务分析与盈利模型</w:t>
      </w:r>
    </w:p>
    <w:p>
      <w:pPr>
        <w:spacing w:before="75" w:after="0"/>
      </w:pPr>
      <w:r>
        <w:rPr/>
        <w:t xml:space="preserve">第一节 行业成本结构拆解</w:t>
      </w:r>
    </w:p>
    <w:p>
      <w:pPr>
        <w:spacing w:before="75" w:after="0"/>
      </w:pPr>
      <w:r>
        <w:rPr/>
        <w:t xml:space="preserve">一、生物质原料采购成本控制方法论</w:t>
      </w:r>
    </w:p>
    <w:p>
      <w:pPr>
        <w:spacing w:before="75" w:after="0"/>
      </w:pPr>
      <w:r>
        <w:rPr/>
        <w:t xml:space="preserve">二、自动化生产线折旧摊销优化策略</w:t>
      </w:r>
    </w:p>
    <w:p>
      <w:pPr>
        <w:spacing w:before="75" w:after="0"/>
      </w:pPr>
      <w:r>
        <w:rPr/>
        <w:t xml:space="preserve">第二节 利润驱动因素量化</w:t>
      </w:r>
    </w:p>
    <w:p>
      <w:pPr>
        <w:spacing w:before="75" w:after="0"/>
      </w:pPr>
      <w:r>
        <w:rPr/>
        <w:t xml:space="preserve">一、高端产品溢价能力与良品率敏感性分析</w:t>
      </w:r>
    </w:p>
    <w:p>
      <w:pPr>
        <w:spacing w:before="75" w:after="0"/>
      </w:pPr>
      <w:r>
        <w:rPr/>
        <w:t xml:space="preserve">二、规模效应临界点测算(万吨级产能)</w:t>
      </w:r>
    </w:p>
    <w:p>
      <w:pPr>
        <w:spacing w:before="75" w:after="0"/>
      </w:pPr>
      <w:r>
        <w:rPr>
          <w:b w:val="1"/>
          <w:bCs w:val="1"/>
        </w:rPr>
        <w:t xml:space="preserve">第九章 海外市场拓展机遇</w:t>
      </w:r>
    </w:p>
    <w:p>
      <w:pPr>
        <w:spacing w:before="75" w:after="0"/>
      </w:pPr>
      <w:r>
        <w:rPr/>
        <w:t xml:space="preserve">第一节 出口市场结构变迁</w:t>
      </w:r>
    </w:p>
    <w:p>
      <w:pPr>
        <w:spacing w:before="75" w:after="0"/>
      </w:pPr>
      <w:r>
        <w:rPr/>
        <w:t xml:space="preserve">一、东南亚动力电池产业链配套需求</w:t>
      </w:r>
    </w:p>
    <w:p>
      <w:pPr>
        <w:spacing w:before="75" w:after="0"/>
      </w:pPr>
      <w:r>
        <w:rPr/>
        <w:t xml:space="preserve">二、欧洲碳关税(cbam)应对预案</w:t>
      </w:r>
    </w:p>
    <w:p>
      <w:pPr>
        <w:spacing w:before="75" w:after="0"/>
      </w:pPr>
      <w:r>
        <w:rPr/>
        <w:t xml:space="preserve">第二节 国际技术合作生态</w:t>
      </w:r>
    </w:p>
    <w:p>
      <w:pPr>
        <w:spacing w:before="75" w:after="0"/>
      </w:pPr>
      <w:r>
        <w:rPr/>
        <w:t xml:space="preserve">一、中德多孔碳催化材料联合实验室进展</w:t>
      </w:r>
    </w:p>
    <w:p>
      <w:pPr>
        <w:spacing w:before="75" w:after="0"/>
      </w:pPr>
      <w:r>
        <w:rPr/>
        <w:t xml:space="preserve">二、中美石墨烯-多孔碳复合材料专利交叉许可</w:t>
      </w:r>
    </w:p>
    <w:p>
      <w:pPr>
        <w:spacing w:before="75" w:after="0"/>
      </w:pPr>
      <w:r>
        <w:rPr>
          <w:b w:val="1"/>
          <w:bCs w:val="1"/>
        </w:rPr>
        <w:t xml:space="preserve">第十章 典型企业案例研究</w:t>
      </w:r>
    </w:p>
    <w:p>
      <w:pPr>
        <w:spacing w:before="75" w:after="0"/>
      </w:pPr>
      <w:r>
        <w:rPr/>
        <w:t xml:space="preserve">第一节 贝特瑞新材料集团股份有限公司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第二节 杉杉股份有限公司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第三节 日本可乐丽株式会社</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b w:val="1"/>
          <w:bCs w:val="1"/>
        </w:rPr>
        <w:t xml:space="preserve">第十一章 投资策略与风险规避</w:t>
      </w:r>
    </w:p>
    <w:p>
      <w:pPr>
        <w:spacing w:before="75" w:after="0"/>
      </w:pPr>
      <w:r>
        <w:rPr/>
        <w:t xml:space="preserve">第一节 价值洼地识别方法</w:t>
      </w:r>
    </w:p>
    <w:p>
      <w:pPr>
        <w:spacing w:before="75" w:after="0"/>
      </w:pPr>
      <w:r>
        <w:rPr/>
        <w:t xml:space="preserve">一、生物质原料预处理环节投资机会</w:t>
      </w:r>
    </w:p>
    <w:p>
      <w:pPr>
        <w:spacing w:before="75" w:after="0"/>
      </w:pPr>
      <w:r>
        <w:rPr/>
        <w:t xml:space="preserve">二、退役电池回收再生多孔碳商业模式</w:t>
      </w:r>
    </w:p>
    <w:p>
      <w:pPr>
        <w:spacing w:before="75" w:after="0"/>
      </w:pPr>
      <w:r>
        <w:rPr/>
        <w:t xml:space="preserve">第二节 政策风险对冲工具</w:t>
      </w:r>
    </w:p>
    <w:p>
      <w:pPr>
        <w:spacing w:before="75" w:after="0"/>
      </w:pPr>
      <w:r>
        <w:rPr/>
        <w:t xml:space="preserve">一、环保督察常态化下的合规成本预估</w:t>
      </w:r>
    </w:p>
    <w:p>
      <w:pPr>
        <w:spacing w:before="75" w:after="0"/>
      </w:pPr>
      <w:r>
        <w:rPr/>
        <w:t xml:space="preserve">二、出口目的地国技术认证提前布局</w:t>
      </w:r>
    </w:p>
    <w:p>
      <w:pPr>
        <w:spacing w:before="75" w:after="0"/>
      </w:pPr>
      <w:r>
        <w:rPr>
          <w:b w:val="1"/>
          <w:bCs w:val="1"/>
        </w:rPr>
        <w:t xml:space="preserve">第十二章 行业风险矩阵评估</w:t>
      </w:r>
    </w:p>
    <w:p>
      <w:pPr>
        <w:spacing w:before="75" w:after="0"/>
      </w:pPr>
      <w:r>
        <w:rPr/>
        <w:t xml:space="preserve">第一节 供给侧结构性风险</w:t>
      </w:r>
    </w:p>
    <w:p>
      <w:pPr>
        <w:spacing w:before="75" w:after="0"/>
      </w:pPr>
      <w:r>
        <w:rPr/>
        <w:t xml:space="preserve">一、低端产能过剩预警指标体系</w:t>
      </w:r>
    </w:p>
    <w:p>
      <w:pPr>
        <w:spacing w:before="75" w:after="0"/>
      </w:pPr>
      <w:r>
        <w:rPr/>
        <w:t xml:space="preserve">二、关键设备进口替代周期风险</w:t>
      </w:r>
    </w:p>
    <w:p>
      <w:pPr>
        <w:spacing w:before="75" w:after="0"/>
      </w:pPr>
      <w:r>
        <w:rPr/>
        <w:t xml:space="preserve">第二节 需求侧不确定性因素</w:t>
      </w:r>
    </w:p>
    <w:p>
      <w:pPr>
        <w:spacing w:before="75" w:after="0"/>
      </w:pPr>
      <w:r>
        <w:rPr/>
        <w:t xml:space="preserve">一、新能源车销量波动传导效应</w:t>
      </w:r>
    </w:p>
    <w:p>
      <w:pPr>
        <w:spacing w:before="75" w:after="0"/>
      </w:pPr>
      <w:r>
        <w:rPr/>
        <w:t xml:space="preserve">二、氢能产业政策退坡潜在影响</w:t>
      </w:r>
    </w:p>
    <w:p>
      <w:pPr>
        <w:spacing w:before="75" w:after="0"/>
      </w:pPr>
      <w:r>
        <w:rPr>
          <w:b w:val="1"/>
          <w:bCs w:val="1"/>
        </w:rPr>
        <w:t xml:space="preserve">第十三章 esg与可持续发展路径</w:t>
      </w:r>
    </w:p>
    <w:p>
      <w:pPr>
        <w:spacing w:before="75" w:after="0"/>
      </w:pPr>
      <w:r>
        <w:rPr/>
        <w:t xml:space="preserve">第一节 碳足迹全生命周期管理</w:t>
      </w:r>
    </w:p>
    <w:p>
      <w:pPr>
        <w:spacing w:before="75" w:after="0"/>
      </w:pPr>
      <w:r>
        <w:rPr/>
        <w:t xml:space="preserve">一、生物质原料种植碳汇核算方法</w:t>
      </w:r>
    </w:p>
    <w:p>
      <w:pPr>
        <w:spacing w:before="75" w:after="0"/>
      </w:pPr>
      <w:r>
        <w:rPr/>
        <w:t xml:space="preserve">二、废旧多孔碳再生利用技术路线</w:t>
      </w:r>
    </w:p>
    <w:p>
      <w:pPr>
        <w:spacing w:before="75" w:after="0"/>
      </w:pPr>
      <w:r>
        <w:rPr/>
        <w:t xml:space="preserve">第二节 社会价值创造模式</w:t>
      </w:r>
    </w:p>
    <w:p>
      <w:pPr>
        <w:spacing w:before="75" w:after="0"/>
      </w:pPr>
      <w:r>
        <w:rPr/>
        <w:t xml:space="preserve">一、农村秸秆高值化利用扶贫案例</w:t>
      </w:r>
    </w:p>
    <w:p>
      <w:pPr>
        <w:spacing w:before="75" w:after="0"/>
      </w:pPr>
      <w:r>
        <w:rPr/>
        <w:t xml:space="preserve">二、职业健康防护标准升级路径</w:t>
      </w:r>
    </w:p>
    <w:p>
      <w:pPr>
        <w:spacing w:before="75" w:after="0"/>
      </w:pPr>
      <w:r>
        <w:rPr>
          <w:b w:val="1"/>
          <w:bCs w:val="1"/>
        </w:rPr>
        <w:t xml:space="preserve">图表目录</w:t>
      </w:r>
    </w:p>
    <w:p>
      <w:pPr>
        <w:spacing w:before="75" w:after="0"/>
      </w:pPr>
      <w:r>
        <w:rPr/>
        <w:t xml:space="preserve">图表：全球多孔碳专利技术分布热力图</w:t>
      </w:r>
    </w:p>
    <w:p>
      <w:pPr>
        <w:spacing w:before="75" w:after="0"/>
      </w:pPr>
      <w:r>
        <w:rPr/>
        <w:t xml:space="preserve">图表：主要企业产品性能参数对比(比表面积/孔容/灰分)</w:t>
      </w:r>
    </w:p>
    <w:p>
      <w:pPr>
        <w:spacing w:before="75" w:after="0"/>
      </w:pPr>
      <w:r>
        <w:rPr/>
        <w:t xml:space="preserve">图表：中国多孔碳企业区域分布密度图</w:t>
      </w:r>
    </w:p>
    <w:p>
      <w:pPr>
        <w:spacing w:before="75" w:after="0"/>
      </w:pPr>
      <w:r>
        <w:rPr/>
        <w:t xml:space="preserve">图表：钠离子电池硬碳负极成本下降路径模拟</w:t>
      </w:r>
    </w:p>
    <w:p>
      <w:pPr>
        <w:spacing w:before="75" w:after="0"/>
      </w:pPr>
      <w:r>
        <w:rPr/>
        <w:t xml:space="preserve">图表：生物质基多孔碳全生命周期碳排放对比</w:t>
      </w:r>
    </w:p>
    <w:p>
      <w:pPr>
        <w:spacing w:before="75" w:after="0"/>
      </w:pPr>
      <w:r>
        <w:rPr/>
        <w:t xml:space="preserve">图表：华东地区产业集群协同效应示意图</w:t>
      </w:r>
    </w:p>
    <w:p>
      <w:pPr>
        <w:spacing w:before="75" w:after="0"/>
      </w:pPr>
      <w:r>
        <w:rPr/>
        <w:t xml:space="preserve">图表：头部企业毛利率与研发投入相关性分析</w:t>
      </w:r>
    </w:p>
    <w:p>
      <w:pPr>
        <w:spacing w:before="75" w:after="0"/>
      </w:pPr>
      <w:r>
        <w:rPr/>
        <w:t xml:space="preserve">图表：多孔碳在氢燃料电池中的渗透路径图</w:t>
      </w:r>
    </w:p>
    <w:p>
      <w:pPr>
        <w:spacing w:before="75" w:after="0"/>
      </w:pPr>
      <w:r>
        <w:rPr/>
        <w:t xml:space="preserve">图表：中美日企业技术路线对比雷达图</w:t>
      </w:r>
    </w:p>
    <w:p>
      <w:pPr>
        <w:spacing w:before="75" w:after="0"/>
      </w:pPr>
      <w:r>
        <w:rPr/>
        <w:t xml:space="preserve">图表：碳关税(cbam)对出口成本影响测算</w:t>
      </w:r>
    </w:p>
    <w:p>
      <w:pPr>
        <w:spacing w:before="75" w:after="0"/>
      </w:pPr>
      <w:r>
        <w:rPr/>
        <w:t xml:space="preserve">图表：多孔碳在医疗领域应用场景扩展路线图</w:t>
      </w:r>
    </w:p>
    <w:p>
      <w:pPr>
        <w:spacing w:before="75" w:after="0"/>
      </w:pPr>
      <w:r>
        <w:rPr/>
        <w:t xml:space="preserve">图表：专精特新企业技术突围成功率评估模型</w:t>
      </w:r>
    </w:p>
    <w:p>
      <w:pPr>
        <w:spacing w:before="75" w:after="0"/>
      </w:pPr>
      <w:r>
        <w:rPr/>
        <w:t xml:space="preserve">图表：中国多孔碳行业集中度(cr5)变化曲线</w:t>
      </w:r>
    </w:p>
    <w:p>
      <w:pPr>
        <w:spacing w:before="75" w:after="0"/>
      </w:pPr>
      <w:r>
        <w:rPr/>
        <w:t xml:space="preserve">图表：自动化生产线投资回收期敏感性分析</w:t>
      </w:r>
    </w:p>
    <w:p>
      <w:pPr>
        <w:spacing w:before="75" w:after="0"/>
      </w:pPr>
      <w:r>
        <w:rPr/>
        <w:t xml:space="preserve">图表：主要区域市场政策支持力度对比表</w:t>
      </w:r>
    </w:p>
    <w:p>
      <w:pPr>
        <w:spacing w:before="75" w:after="0"/>
      </w:pPr>
      <w:r>
        <w:rPr/>
        <w:t xml:space="preserve">图表：多孔碳-石墨烯复合材料导电性能提升曲线</w:t>
      </w:r>
    </w:p>
    <w:p>
      <w:pPr>
        <w:spacing w:before="75" w:after="0"/>
      </w:pPr>
      <w:r>
        <w:rPr/>
        <w:t xml:space="preserve">图表：esg评级与市值相关性实证分析</w:t>
      </w:r>
    </w:p>
    <w:p>
      <w:pPr>
        <w:spacing w:before="75" w:after="0"/>
      </w:pPr>
      <w:r>
        <w:rPr/>
        <w:t xml:space="preserve">图表：2026-2031年中国多孔碳市场规模预测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中国多孔碳行业市场发展分析及企业案例与投资策略研究报告(2026-2031版)</dc:title>
  <dc:description>中国多孔碳行业市场发展分析及企业案例与投资策略研究报告(2026-2031版)</dc:description>
  <dc:subject>中国多孔碳行业市场发展分析及企业案例与投资策略研究报告(2026-2031版)</dc:subject>
  <cp:keywords>研究报告</cp:keywords>
  <cp:category>研究报告</cp:category>
  <cp:lastModifiedBy>北京中道泰和信息咨询有限公司</cp:lastModifiedBy>
  <dcterms:created xsi:type="dcterms:W3CDTF">2026-04-08T17:07:38+08:00</dcterms:created>
  <dcterms:modified xsi:type="dcterms:W3CDTF">2026-04-08T17:07:38+08:00</dcterms:modified>
</cp:coreProperties>
</file>

<file path=docProps/custom.xml><?xml version="1.0" encoding="utf-8"?>
<Properties xmlns="http://schemas.openxmlformats.org/officeDocument/2006/custom-properties" xmlns:vt="http://schemas.openxmlformats.org/officeDocument/2006/docPropsVTypes"/>
</file>