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中国轮胎出海战略规划及企业案例与前景预测研究报告(2026-2031版)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当一辆汽车驶过非洲红土、美洲高速或欧洲雪线，轮胎是唯一同时接触当地文化与物理极限的中国制造。在中道泰和看来，“轮胎出海”早已超出商品出口的范畴，而是一场“以橡胶为介质、以场景为语言、以本地化为根系”的全球价值链再布局：它既要把中国在高性能材料、智能制造与绿色工艺上的十年积累转化为海外用户可感知的“安全感、里程数与碳足迹”，又要在品牌心智、渠道深耕、回收循环与社会治理上与当地市场共生共长。</w:t>
      </w:r>
    </w:p>
    <w:p>
      <w:pPr>
        <w:spacing w:after="150"/>
      </w:pPr>
      <w:r>
        <w:rPr/>
        <w:t xml:space="preserve">过去十余年，中国轮胎依托规模、效率与快速迭代，完成了从“替补”到“主赛段”的跨越：在欧美高性能胎市场打破技术天花板，在东南亚与拉美以高性价比重塑消费预期，在“一带一路”沿线以产业链组团方式输出标准与产能。今天，中国轮胎的出海版图不再只是FOB港口的货柜，而是一张由海外研发中心、本地化工厂、区域分销枢纽、废旧轮胎循环网络与品牌体验中心交织而成的“弹性网格”。</w:t>
      </w:r>
    </w:p>
    <w:p>
      <w:pPr>
        <w:spacing w:after="150"/>
      </w:pPr>
      <w:r>
        <w:rPr/>
        <w:t xml:space="preserve">眺望2025—2030年，三大趋势将重塑这条橡胶赛道：</w:t>
      </w:r>
    </w:p>
    <w:p>
      <w:pPr>
        <w:spacing w:after="150"/>
      </w:pPr>
      <w:r>
        <w:rPr/>
        <w:t xml:space="preserve">其一，“绿色法规”成为刚性入口。碳标签、轮胎燃油效率等级、可再生材料比例，正从市场卖点变成准入门槛;谁能把绿色技术转化为成本优势，谁就能在下一轮洗牌中掌握定价权。其二，“场景品牌”取代“规格竞争”。无论北欧极寒胎、中东沙漠越野胎，还是共享出行高耐磨胎，海外用户越来越愿为“场景解决方案”而非单一产品买单;这意味着轮胎企业必须从“卖产品”升级为“卖里程服务+数据运营”。其三，“在地化韧性”决定可持续增长。地缘政治、航运波动、原材料价格周期，让“靠近市场、靠近资源、靠近用户”成为新铁律;海外产能不再只是成本中心，而是品牌信任与社会价值的前沿哨所。</w:t>
      </w:r>
    </w:p>
    <w:p>
      <w:pPr>
        <w:spacing w:after="150"/>
      </w:pPr>
      <w:r>
        <w:rPr/>
        <w:t xml:space="preserve">未来五年，全球轮胎市场将迎来“存量替换高峰”与“新能源配套窗口”叠加的历史级机会。中国轮胎若能以绿色材料、智能制造、场景品牌、循环生态为四支点，便有机会把“性价比”记忆升级为“绿色科技+场景专家”的新认知，在全球价值链中完成从“制造节点”到“标准共创者”的跃迁。</w:t>
      </w:r>
    </w:p>
    <w:p>
      <w:pPr>
        <w:spacing w:after="150"/>
      </w:pPr>
      <w:r>
        <w:rPr/>
        <w:t xml:space="preserve">本报告目录以“技术—场景—治理—资本”四轴展开，旨在为中国轮胎企业绘制一张“从港口到公路、从工厂到社区、从胎面到循环”的航海图：让每一条花纹都读懂当地路况，让每一座海外工厂都能成为绿色转型的区域标杆，让每一次品牌露出都成为用户安全感的锚点。这是中道泰和对“轮胎出海”未来五年的系统思考，也是我们与行业共同驶向深海的新坐标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全球轮胎产业格局与中国定位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一、  全球轮胎产业转移趋势</w:t>
      </w:r>
    </w:p>
    <w:p>
      <w:pPr>
        <w:spacing w:before="75" w:after="0"/>
      </w:pPr>
      <w:r>
        <w:rPr/>
        <w:t xml:space="preserve">二、  中国轮胎产业链升级迫切性</w:t>
      </w:r>
    </w:p>
    <w:p>
      <w:pPr>
        <w:spacing w:before="75" w:after="0"/>
      </w:pPr>
      <w:r>
        <w:rPr/>
        <w:t xml:space="preserve">第二节  研究方法论体系</w:t>
      </w:r>
    </w:p>
    <w:p>
      <w:pPr>
        <w:spacing w:before="75" w:after="0"/>
      </w:pPr>
      <w:r>
        <w:rPr/>
        <w:t xml:space="preserve">一、  海关数据与实地调研结合</w:t>
      </w:r>
    </w:p>
    <w:p>
      <w:pPr>
        <w:spacing w:before="75" w:after="0"/>
      </w:pPr>
      <w:r>
        <w:rPr/>
        <w:t xml:space="preserve">二、  波特五力模型在轮胎行业应用</w:t>
      </w:r>
    </w:p>
    <w:p>
      <w:pPr>
        <w:spacing w:before="75" w:after="0"/>
      </w:pPr>
      <w:r>
        <w:rPr/>
        <w:t xml:space="preserve">第三节  报告创新点与价值</w:t>
      </w:r>
    </w:p>
    <w:p>
      <w:pPr>
        <w:spacing w:before="75" w:after="0"/>
      </w:pPr>
      <w:r>
        <w:rPr/>
        <w:t xml:space="preserve">一、  双反关税动态追踪系统</w:t>
      </w:r>
    </w:p>
    <w:p>
      <w:pPr>
        <w:spacing w:before="75" w:after="0"/>
      </w:pPr>
      <w:r>
        <w:rPr/>
        <w:t xml:space="preserve">二、  海外工厂选址评估矩阵</w:t>
      </w:r>
    </w:p>
    <w:p>
      <w:pPr>
        <w:spacing w:before="75" w:after="0"/>
      </w:pPr>
      <w:r>
        <w:rPr>
          <w:b w:val="1"/>
          <w:bCs w:val="1"/>
        </w:rPr>
        <w:t xml:space="preserve">第二章 全球轮胎市场需求与趋势</w:t>
      </w:r>
    </w:p>
    <w:p>
      <w:pPr>
        <w:spacing w:before="75" w:after="0"/>
      </w:pPr>
      <w:r>
        <w:rPr/>
        <w:t xml:space="preserve">第一节  2025年市场规模与结构</w:t>
      </w:r>
    </w:p>
    <w:p>
      <w:pPr>
        <w:spacing w:before="75" w:after="0"/>
      </w:pPr>
      <w:r>
        <w:rPr/>
        <w:t xml:space="preserve">一、  替换市场与配套市场比例</w:t>
      </w:r>
    </w:p>
    <w:p>
      <w:pPr>
        <w:spacing w:before="75" w:after="0"/>
      </w:pPr>
      <w:r>
        <w:rPr/>
        <w:t xml:space="preserve">二、  乘用车/商用车/特种轮胎占比</w:t>
      </w:r>
    </w:p>
    <w:p>
      <w:pPr>
        <w:spacing w:before="75" w:after="0"/>
      </w:pPr>
      <w:r>
        <w:rPr/>
        <w:t xml:space="preserve">第二节  技术发展趋势</w:t>
      </w:r>
    </w:p>
    <w:p>
      <w:pPr>
        <w:spacing w:before="75" w:after="0"/>
      </w:pPr>
      <w:r>
        <w:rPr/>
        <w:t xml:space="preserve">一、  绿色轮胎渗透率提升</w:t>
      </w:r>
    </w:p>
    <w:p>
      <w:pPr>
        <w:spacing w:before="75" w:after="0"/>
      </w:pPr>
      <w:r>
        <w:rPr/>
        <w:t xml:space="preserve">二、  智能轮胎技术突破</w:t>
      </w:r>
    </w:p>
    <w:p>
      <w:pPr>
        <w:spacing w:before="75" w:after="0"/>
      </w:pPr>
      <w:r>
        <w:rPr/>
        <w:t xml:space="preserve">第三节  区域市场特征</w:t>
      </w:r>
    </w:p>
    <w:p>
      <w:pPr>
        <w:spacing w:before="75" w:after="0"/>
      </w:pPr>
      <w:r>
        <w:rPr/>
        <w:t xml:space="preserve">一、  北美市场季节性需求</w:t>
      </w:r>
    </w:p>
    <w:p>
      <w:pPr>
        <w:spacing w:before="75" w:after="0"/>
      </w:pPr>
      <w:r>
        <w:rPr/>
        <w:t xml:space="preserve">二、  欧洲冬季胎法规变化</w:t>
      </w:r>
    </w:p>
    <w:p>
      <w:pPr>
        <w:spacing w:before="75" w:after="0"/>
      </w:pPr>
      <w:r>
        <w:rPr>
          <w:b w:val="1"/>
          <w:bCs w:val="1"/>
        </w:rPr>
        <w:t xml:space="preserve">第三章 中国轮胎产业竞争力分析</w:t>
      </w:r>
    </w:p>
    <w:p>
      <w:pPr>
        <w:spacing w:before="75" w:after="0"/>
      </w:pPr>
      <w:r>
        <w:rPr/>
        <w:t xml:space="preserve">第一节  产能与利用率分析</w:t>
      </w:r>
    </w:p>
    <w:p>
      <w:pPr>
        <w:spacing w:before="75" w:after="0"/>
      </w:pPr>
      <w:r>
        <w:rPr/>
        <w:t xml:space="preserve">一、  半钢/全钢胎产能分布</w:t>
      </w:r>
    </w:p>
    <w:p>
      <w:pPr>
        <w:spacing w:before="75" w:after="0"/>
      </w:pPr>
      <w:r>
        <w:rPr/>
        <w:t xml:space="preserve">二、  头部企业开工率对比</w:t>
      </w:r>
    </w:p>
    <w:p>
      <w:pPr>
        <w:spacing w:before="75" w:after="0"/>
      </w:pPr>
      <w:r>
        <w:rPr/>
        <w:t xml:space="preserve">第二节  技术创新能力</w:t>
      </w:r>
    </w:p>
    <w:p>
      <w:pPr>
        <w:spacing w:before="75" w:after="0"/>
      </w:pPr>
      <w:r>
        <w:rPr/>
        <w:t xml:space="preserve">一、  专利数量质量分析</w:t>
      </w:r>
    </w:p>
    <w:p>
      <w:pPr>
        <w:spacing w:before="75" w:after="0"/>
      </w:pPr>
      <w:r>
        <w:rPr/>
        <w:t xml:space="preserve">二、  研发投入强度比较</w:t>
      </w:r>
    </w:p>
    <w:p>
      <w:pPr>
        <w:spacing w:before="75" w:after="0"/>
      </w:pPr>
      <w:r>
        <w:rPr/>
        <w:t xml:space="preserve">第三节  成本结构优化</w:t>
      </w:r>
    </w:p>
    <w:p>
      <w:pPr>
        <w:spacing w:before="75" w:after="0"/>
      </w:pPr>
      <w:r>
        <w:rPr/>
        <w:t xml:space="preserve">一、  天然橡胶采购策略</w:t>
      </w:r>
    </w:p>
    <w:p>
      <w:pPr>
        <w:spacing w:before="75" w:after="0"/>
      </w:pPr>
      <w:r>
        <w:rPr/>
        <w:t xml:space="preserve">二、  能源成本区域差异</w:t>
      </w:r>
    </w:p>
    <w:p>
      <w:pPr>
        <w:spacing w:before="75" w:after="0"/>
      </w:pPr>
      <w:r>
        <w:rPr>
          <w:b w:val="1"/>
          <w:bCs w:val="1"/>
        </w:rPr>
        <w:t xml:space="preserve">第四章 国际贸易环境与政策壁垒</w:t>
      </w:r>
    </w:p>
    <w:p>
      <w:pPr>
        <w:spacing w:before="75" w:after="0"/>
      </w:pPr>
      <w:r>
        <w:rPr/>
        <w:t xml:space="preserve">第一节  主要市场贸易政策</w:t>
      </w:r>
    </w:p>
    <w:p>
      <w:pPr>
        <w:spacing w:before="75" w:after="0"/>
      </w:pPr>
      <w:r>
        <w:rPr/>
        <w:t xml:space="preserve">一、  美国对华轮胎双反最新税率</w:t>
      </w:r>
    </w:p>
    <w:p>
      <w:pPr>
        <w:spacing w:before="75" w:after="0"/>
      </w:pPr>
      <w:r>
        <w:rPr/>
        <w:t xml:space="preserve">二、  欧盟标签法升级影响</w:t>
      </w:r>
    </w:p>
    <w:p>
      <w:pPr>
        <w:spacing w:before="75" w:after="0"/>
      </w:pPr>
      <w:r>
        <w:rPr/>
        <w:t xml:space="preserve">第二节  区域自贸协定机遇</w:t>
      </w:r>
    </w:p>
    <w:p>
      <w:pPr>
        <w:spacing w:before="75" w:after="0"/>
      </w:pPr>
      <w:r>
        <w:rPr/>
        <w:t xml:space="preserve">一、  rcep原产地规则利用</w:t>
      </w:r>
    </w:p>
    <w:p>
      <w:pPr>
        <w:spacing w:before="75" w:after="0"/>
      </w:pPr>
      <w:r>
        <w:rPr/>
        <w:t xml:space="preserve">二、  中欧cai谈判进展</w:t>
      </w:r>
    </w:p>
    <w:p>
      <w:pPr>
        <w:spacing w:before="75" w:after="0"/>
      </w:pPr>
      <w:r>
        <w:rPr/>
        <w:t xml:space="preserve">第三节  碳关税应对策略</w:t>
      </w:r>
    </w:p>
    <w:p>
      <w:pPr>
        <w:spacing w:before="75" w:after="0"/>
      </w:pPr>
      <w:r>
        <w:rPr/>
        <w:t xml:space="preserve">一、  产品碳足迹核算</w:t>
      </w:r>
    </w:p>
    <w:p>
      <w:pPr>
        <w:spacing w:before="75" w:after="0"/>
      </w:pPr>
      <w:r>
        <w:rPr/>
        <w:t xml:space="preserve">二、  绿色工厂认证</w:t>
      </w:r>
    </w:p>
    <w:p>
      <w:pPr>
        <w:spacing w:before="75" w:after="0"/>
      </w:pPr>
      <w:r>
        <w:rPr>
          <w:b w:val="1"/>
          <w:bCs w:val="1"/>
        </w:rPr>
        <w:t xml:space="preserve">第五章 中国轮胎出口现状分析</w:t>
      </w:r>
    </w:p>
    <w:p>
      <w:pPr>
        <w:spacing w:before="75" w:after="0"/>
      </w:pPr>
      <w:r>
        <w:rPr/>
        <w:t xml:space="preserve">第一节  2023-2025年出口数据</w:t>
      </w:r>
    </w:p>
    <w:p>
      <w:pPr>
        <w:spacing w:before="75" w:after="0"/>
      </w:pPr>
      <w:r>
        <w:rPr/>
        <w:t xml:space="preserve">一、  出口量价变化趋势</w:t>
      </w:r>
    </w:p>
    <w:p>
      <w:pPr>
        <w:spacing w:before="75" w:after="0"/>
      </w:pPr>
      <w:r>
        <w:rPr/>
        <w:t xml:space="preserve">二、  主要出口企业梯队</w:t>
      </w:r>
    </w:p>
    <w:p>
      <w:pPr>
        <w:spacing w:before="75" w:after="0"/>
      </w:pPr>
      <w:r>
        <w:rPr/>
        <w:t xml:space="preserve">第二节  产品结构演变</w:t>
      </w:r>
    </w:p>
    <w:p>
      <w:pPr>
        <w:spacing w:before="75" w:after="0"/>
      </w:pPr>
      <w:r>
        <w:rPr/>
        <w:t xml:space="preserve">一、  高端产品占比提升</w:t>
      </w:r>
    </w:p>
    <w:p>
      <w:pPr>
        <w:spacing w:before="75" w:after="0"/>
      </w:pPr>
      <w:r>
        <w:rPr/>
        <w:t xml:space="preserve">二、  特种轮胎突破情况</w:t>
      </w:r>
    </w:p>
    <w:p>
      <w:pPr>
        <w:spacing w:before="75" w:after="0"/>
      </w:pPr>
      <w:r>
        <w:rPr/>
        <w:t xml:space="preserve">第三节  海外渠道建设</w:t>
      </w:r>
    </w:p>
    <w:p>
      <w:pPr>
        <w:spacing w:before="75" w:after="0"/>
      </w:pPr>
      <w:r>
        <w:rPr/>
        <w:t xml:space="preserve">一、  品牌专卖店布局</w:t>
      </w:r>
    </w:p>
    <w:p>
      <w:pPr>
        <w:spacing w:before="75" w:after="0"/>
      </w:pPr>
      <w:r>
        <w:rPr/>
        <w:t xml:space="preserve">二、  跨境电商新渠道</w:t>
      </w:r>
    </w:p>
    <w:p>
      <w:pPr>
        <w:spacing w:before="75" w:after="0"/>
      </w:pPr>
      <w:r>
        <w:rPr>
          <w:b w:val="1"/>
          <w:bCs w:val="1"/>
        </w:rPr>
        <w:t xml:space="preserve">第六章 重点区域市场深度剖析</w:t>
      </w:r>
    </w:p>
    <w:p>
      <w:pPr>
        <w:spacing w:before="75" w:after="0"/>
      </w:pPr>
      <w:r>
        <w:rPr/>
        <w:t xml:space="preserve">第一节  北美市场</w:t>
      </w:r>
    </w:p>
    <w:p>
      <w:pPr>
        <w:spacing w:before="75" w:after="0"/>
      </w:pPr>
      <w:r>
        <w:rPr/>
        <w:t xml:space="preserve">一、  dot认证最新要求</w:t>
      </w:r>
    </w:p>
    <w:p>
      <w:pPr>
        <w:spacing w:before="75" w:after="0"/>
      </w:pPr>
      <w:r>
        <w:rPr/>
        <w:t xml:space="preserve">二、  墨西哥近岸生产机遇</w:t>
      </w:r>
    </w:p>
    <w:p>
      <w:pPr>
        <w:spacing w:before="75" w:after="0"/>
      </w:pPr>
      <w:r>
        <w:rPr/>
        <w:t xml:space="preserve">第二节  欧洲市场</w:t>
      </w:r>
    </w:p>
    <w:p>
      <w:pPr>
        <w:spacing w:before="75" w:after="0"/>
      </w:pPr>
      <w:r>
        <w:rPr/>
        <w:t xml:space="preserve">一、  reach法规更新</w:t>
      </w:r>
    </w:p>
    <w:p>
      <w:pPr>
        <w:spacing w:before="75" w:after="0"/>
      </w:pPr>
      <w:r>
        <w:rPr/>
        <w:t xml:space="preserve">二、  中东欧物流枢纽</w:t>
      </w:r>
    </w:p>
    <w:p>
      <w:pPr>
        <w:spacing w:before="75" w:after="0"/>
      </w:pPr>
      <w:r>
        <w:rPr/>
        <w:t xml:space="preserve">第三节  东南亚市场</w:t>
      </w:r>
    </w:p>
    <w:p>
      <w:pPr>
        <w:spacing w:before="75" w:after="0"/>
      </w:pPr>
      <w:r>
        <w:rPr/>
        <w:t xml:space="preserve">一、  泰国轮胎产业竞争</w:t>
      </w:r>
    </w:p>
    <w:p>
      <w:pPr>
        <w:spacing w:before="75" w:after="0"/>
      </w:pPr>
      <w:r>
        <w:rPr/>
        <w:t xml:space="preserve">二、  印尼替换市场潜力</w:t>
      </w:r>
    </w:p>
    <w:p>
      <w:pPr>
        <w:spacing w:before="75" w:after="0"/>
      </w:pPr>
      <w:r>
        <w:rPr/>
        <w:t xml:space="preserve">第四节  中东非洲市场</w:t>
      </w:r>
    </w:p>
    <w:p>
      <w:pPr>
        <w:spacing w:before="75" w:after="0"/>
      </w:pPr>
      <w:r>
        <w:rPr/>
        <w:t xml:space="preserve">一、  海湾国家标准认证</w:t>
      </w:r>
    </w:p>
    <w:p>
      <w:pPr>
        <w:spacing w:before="75" w:after="0"/>
      </w:pPr>
      <w:r>
        <w:rPr/>
        <w:t xml:space="preserve">二、  非洲本地化组装</w:t>
      </w:r>
    </w:p>
    <w:p>
      <w:pPr>
        <w:spacing w:before="75" w:after="0"/>
      </w:pPr>
      <w:r>
        <w:rPr/>
        <w:t xml:space="preserve">第五节  拉美市场</w:t>
      </w:r>
    </w:p>
    <w:p>
      <w:pPr>
        <w:spacing w:before="75" w:after="0"/>
      </w:pPr>
      <w:r>
        <w:rPr/>
        <w:t xml:space="preserve">一、  巴西inmetro认证</w:t>
      </w:r>
    </w:p>
    <w:p>
      <w:pPr>
        <w:spacing w:before="75" w:after="0"/>
      </w:pPr>
      <w:r>
        <w:rPr/>
        <w:t xml:space="preserve">二、  智利自由贸易优势</w:t>
      </w:r>
    </w:p>
    <w:p>
      <w:pPr>
        <w:spacing w:before="75" w:after="0"/>
      </w:pPr>
      <w:r>
        <w:rPr>
          <w:b w:val="1"/>
          <w:bCs w:val="1"/>
        </w:rPr>
        <w:t xml:space="preserve">第七章 产品竞争力提升路径</w:t>
      </w:r>
    </w:p>
    <w:p>
      <w:pPr>
        <w:spacing w:before="75" w:after="0"/>
      </w:pPr>
      <w:r>
        <w:rPr/>
        <w:t xml:space="preserve">第一节  性能指标对标</w:t>
      </w:r>
    </w:p>
    <w:p>
      <w:pPr>
        <w:spacing w:before="75" w:after="0"/>
      </w:pPr>
      <w:r>
        <w:rPr/>
        <w:t xml:space="preserve">一、  滚阻/湿滑/噪音测试</w:t>
      </w:r>
    </w:p>
    <w:p>
      <w:pPr>
        <w:spacing w:before="75" w:after="0"/>
      </w:pPr>
      <w:r>
        <w:rPr/>
        <w:t xml:space="preserve">二、  耐磨指数改进空间</w:t>
      </w:r>
    </w:p>
    <w:p>
      <w:pPr>
        <w:spacing w:before="75" w:after="0"/>
      </w:pPr>
      <w:r>
        <w:rPr/>
        <w:t xml:space="preserve">第二节  产品矩阵优化</w:t>
      </w:r>
    </w:p>
    <w:p>
      <w:pPr>
        <w:spacing w:before="75" w:after="0"/>
      </w:pPr>
      <w:r>
        <w:rPr/>
        <w:t xml:space="preserve">一、  高端品牌建设策略</w:t>
      </w:r>
    </w:p>
    <w:p>
      <w:pPr>
        <w:spacing w:before="75" w:after="0"/>
      </w:pPr>
      <w:r>
        <w:rPr/>
        <w:t xml:space="preserve">二、  性价比产品组合</w:t>
      </w:r>
    </w:p>
    <w:p>
      <w:pPr>
        <w:spacing w:before="75" w:after="0"/>
      </w:pPr>
      <w:r>
        <w:rPr/>
        <w:t xml:space="preserve">第三节  定制化开发</w:t>
      </w:r>
    </w:p>
    <w:p>
      <w:pPr>
        <w:spacing w:before="75" w:after="0"/>
      </w:pPr>
      <w:r>
        <w:rPr/>
        <w:t xml:space="preserve">一、  气候适应性改进</w:t>
      </w:r>
    </w:p>
    <w:p>
      <w:pPr>
        <w:spacing w:before="75" w:after="0"/>
      </w:pPr>
      <w:r>
        <w:rPr/>
        <w:t xml:space="preserve">二、  车型配套专研</w:t>
      </w:r>
    </w:p>
    <w:p>
      <w:pPr>
        <w:spacing w:before="75" w:after="0"/>
      </w:pPr>
      <w:r>
        <w:rPr>
          <w:b w:val="1"/>
          <w:bCs w:val="1"/>
        </w:rPr>
        <w:t xml:space="preserve">第八章 海外生产基地布局</w:t>
      </w:r>
    </w:p>
    <w:p>
      <w:pPr>
        <w:spacing w:before="75" w:after="0"/>
      </w:pPr>
      <w:r>
        <w:rPr/>
        <w:t xml:space="preserve">第一节  选址评估模型</w:t>
      </w:r>
    </w:p>
    <w:p>
      <w:pPr>
        <w:spacing w:before="75" w:after="0"/>
      </w:pPr>
      <w:r>
        <w:rPr/>
        <w:t xml:space="preserve">一、  成本要素评分体系</w:t>
      </w:r>
    </w:p>
    <w:p>
      <w:pPr>
        <w:spacing w:before="75" w:after="0"/>
      </w:pPr>
      <w:r>
        <w:rPr/>
        <w:t xml:space="preserve">二、  政治风险指数</w:t>
      </w:r>
    </w:p>
    <w:p>
      <w:pPr>
        <w:spacing w:before="75" w:after="0"/>
      </w:pPr>
      <w:r>
        <w:rPr/>
        <w:t xml:space="preserve">第二节  东南亚投资分析</w:t>
      </w:r>
    </w:p>
    <w:p>
      <w:pPr>
        <w:spacing w:before="75" w:after="0"/>
      </w:pPr>
      <w:r>
        <w:rPr/>
        <w:t xml:space="preserve">一、  泰国产业配套优势</w:t>
      </w:r>
    </w:p>
    <w:p>
      <w:pPr>
        <w:spacing w:before="75" w:after="0"/>
      </w:pPr>
      <w:r>
        <w:rPr/>
        <w:t xml:space="preserve">二、  越南劳动力成本</w:t>
      </w:r>
    </w:p>
    <w:p>
      <w:pPr>
        <w:spacing w:before="75" w:after="0"/>
      </w:pPr>
      <w:r>
        <w:rPr/>
        <w:t xml:space="preserve">第三节  欧美本地化生产</w:t>
      </w:r>
    </w:p>
    <w:p>
      <w:pPr>
        <w:spacing w:before="75" w:after="0"/>
      </w:pPr>
      <w:r>
        <w:rPr/>
        <w:t xml:space="preserve">一、  并购现有工厂案例</w:t>
      </w:r>
    </w:p>
    <w:p>
      <w:pPr>
        <w:spacing w:before="75" w:after="0"/>
      </w:pPr>
      <w:r>
        <w:rPr/>
        <w:t xml:space="preserve">二、  绿地投资可行性</w:t>
      </w:r>
    </w:p>
    <w:p>
      <w:pPr>
        <w:spacing w:before="75" w:after="0"/>
      </w:pPr>
      <w:r>
        <w:rPr>
          <w:b w:val="1"/>
          <w:bCs w:val="1"/>
        </w:rPr>
        <w:t xml:space="preserve">第九章 中国轮胎出海——细分市场分析</w:t>
      </w:r>
    </w:p>
    <w:p>
      <w:pPr>
        <w:spacing w:before="75" w:after="0"/>
      </w:pPr>
      <w:r>
        <w:rPr/>
        <w:t xml:space="preserve">第一节  海外轮胎市场细分品类需求特征分析</w:t>
      </w:r>
    </w:p>
    <w:p>
      <w:pPr>
        <w:spacing w:before="75" w:after="0"/>
      </w:pPr>
      <w:r>
        <w:rPr/>
        <w:t xml:space="preserve">第二节  中国轮胎企业海外布局细分市场概况</w:t>
      </w:r>
    </w:p>
    <w:p>
      <w:pPr>
        <w:spacing w:before="75" w:after="0"/>
      </w:pPr>
      <w:r>
        <w:rPr/>
        <w:t xml:space="preserve">第三节  中国轮胎企业海外布局细分市场结构</w:t>
      </w:r>
    </w:p>
    <w:p>
      <w:pPr>
        <w:spacing w:before="75" w:after="0"/>
      </w:pPr>
      <w:r>
        <w:rPr/>
        <w:t xml:space="preserve">第四节  中国轮胎出海细分市场：机动小客车轮胎</w:t>
      </w:r>
    </w:p>
    <w:p>
      <w:pPr>
        <w:spacing w:before="75" w:after="0"/>
      </w:pPr>
      <w:r>
        <w:rPr/>
        <w:t xml:space="preserve">一、  机动小客车轮胎概述</w:t>
      </w:r>
    </w:p>
    <w:p>
      <w:pPr>
        <w:spacing w:before="75" w:after="0"/>
      </w:pPr>
      <w:r>
        <w:rPr/>
        <w:t xml:space="preserve">二、  机动小客车轮胎市场概况</w:t>
      </w:r>
    </w:p>
    <w:p>
      <w:pPr>
        <w:spacing w:before="75" w:after="0"/>
      </w:pPr>
      <w:r>
        <w:rPr/>
        <w:t xml:space="preserve">三、  机动小客车轮胎出海概况</w:t>
      </w:r>
    </w:p>
    <w:p>
      <w:pPr>
        <w:spacing w:before="75" w:after="0"/>
      </w:pPr>
      <w:r>
        <w:rPr/>
        <w:t xml:space="preserve">第五节  中国轮胎出海细分市场：客车或货运机动车轮胎</w:t>
      </w:r>
    </w:p>
    <w:p>
      <w:pPr>
        <w:spacing w:before="75" w:after="0"/>
      </w:pPr>
      <w:r>
        <w:rPr/>
        <w:t xml:space="preserve">一、  客车或货运机动车轮胎概述</w:t>
      </w:r>
    </w:p>
    <w:p>
      <w:pPr>
        <w:spacing w:before="75" w:after="0"/>
      </w:pPr>
      <w:r>
        <w:rPr/>
        <w:t xml:space="preserve">二、  客车或货运机动车轮胎市场概况</w:t>
      </w:r>
    </w:p>
    <w:p>
      <w:pPr>
        <w:spacing w:before="75" w:after="0"/>
      </w:pPr>
      <w:r>
        <w:rPr/>
        <w:t xml:space="preserve">三、  客车或货运机动车轮胎出海概况</w:t>
      </w:r>
    </w:p>
    <w:p>
      <w:pPr>
        <w:spacing w:before="75" w:after="0"/>
      </w:pPr>
      <w:r>
        <w:rPr/>
        <w:t xml:space="preserve">第六节  中国轮胎出海细分市场：摩托车轮胎</w:t>
      </w:r>
    </w:p>
    <w:p>
      <w:pPr>
        <w:spacing w:before="75" w:after="0"/>
      </w:pPr>
      <w:r>
        <w:rPr/>
        <w:t xml:space="preserve">一、  摩托车轮胎概述</w:t>
      </w:r>
    </w:p>
    <w:p>
      <w:pPr>
        <w:spacing w:before="75" w:after="0"/>
      </w:pPr>
      <w:r>
        <w:rPr/>
        <w:t xml:space="preserve">二、  摩托车轮胎市场概况</w:t>
      </w:r>
    </w:p>
    <w:p>
      <w:pPr>
        <w:spacing w:before="75" w:after="0"/>
      </w:pPr>
      <w:r>
        <w:rPr/>
        <w:t xml:space="preserve">三、  摩托车轮胎出海概况</w:t>
      </w:r>
    </w:p>
    <w:p>
      <w:pPr>
        <w:spacing w:before="75" w:after="0"/>
      </w:pPr>
      <w:r>
        <w:rPr/>
        <w:t xml:space="preserve">第七节  中国轮胎出海细分市场：自行车轮胎</w:t>
      </w:r>
    </w:p>
    <w:p>
      <w:pPr>
        <w:spacing w:before="75" w:after="0"/>
      </w:pPr>
      <w:r>
        <w:rPr/>
        <w:t xml:space="preserve">一、  自行车轮胎概述</w:t>
      </w:r>
    </w:p>
    <w:p>
      <w:pPr>
        <w:spacing w:before="75" w:after="0"/>
      </w:pPr>
      <w:r>
        <w:rPr/>
        <w:t xml:space="preserve">二、  自行车轮胎市场概况</w:t>
      </w:r>
    </w:p>
    <w:p>
      <w:pPr>
        <w:spacing w:before="75" w:after="0"/>
      </w:pPr>
      <w:r>
        <w:rPr/>
        <w:t xml:space="preserve">三、  自行车轮胎出海概况</w:t>
      </w:r>
    </w:p>
    <w:p>
      <w:pPr>
        <w:spacing w:before="75" w:after="0"/>
      </w:pPr>
      <w:r>
        <w:rPr/>
        <w:t xml:space="preserve">第八节  中国轮胎企业出海细分市场战略地位分析</w:t>
      </w:r>
    </w:p>
    <w:p>
      <w:pPr>
        <w:spacing w:before="75" w:after="0"/>
      </w:pPr>
      <w:r>
        <w:rPr>
          <w:b w:val="1"/>
          <w:bCs w:val="1"/>
        </w:rPr>
        <w:t xml:space="preserve">第十章 绿色低碳转型</w:t>
      </w:r>
    </w:p>
    <w:p>
      <w:pPr>
        <w:spacing w:before="75" w:after="0"/>
      </w:pPr>
      <w:r>
        <w:rPr/>
        <w:t xml:space="preserve">第一节  可持续材料应用</w:t>
      </w:r>
    </w:p>
    <w:p>
      <w:pPr>
        <w:spacing w:before="75" w:after="0"/>
      </w:pPr>
      <w:r>
        <w:rPr/>
        <w:t xml:space="preserve">一、  生物基橡胶进展</w:t>
      </w:r>
    </w:p>
    <w:p>
      <w:pPr>
        <w:spacing w:before="75" w:after="0"/>
      </w:pPr>
      <w:r>
        <w:rPr/>
        <w:t xml:space="preserve">二、  回收炭黑利用</w:t>
      </w:r>
    </w:p>
    <w:p>
      <w:pPr>
        <w:spacing w:before="75" w:after="0"/>
      </w:pPr>
      <w:r>
        <w:rPr/>
        <w:t xml:space="preserve">第二节  生产工艺减排</w:t>
      </w:r>
    </w:p>
    <w:p>
      <w:pPr>
        <w:spacing w:before="75" w:after="0"/>
      </w:pPr>
      <w:r>
        <w:rPr/>
        <w:t xml:space="preserve">一、  密炼环节节能</w:t>
      </w:r>
    </w:p>
    <w:p>
      <w:pPr>
        <w:spacing w:before="75" w:after="0"/>
      </w:pPr>
      <w:r>
        <w:rPr/>
        <w:t xml:space="preserve">二、  硫化工艺优化</w:t>
      </w:r>
    </w:p>
    <w:p>
      <w:pPr>
        <w:spacing w:before="75" w:after="0"/>
      </w:pPr>
      <w:r>
        <w:rPr/>
        <w:t xml:space="preserve">第三节  循环经济模式</w:t>
      </w:r>
    </w:p>
    <w:p>
      <w:pPr>
        <w:spacing w:before="75" w:after="0"/>
      </w:pPr>
      <w:r>
        <w:rPr/>
        <w:t xml:space="preserve">一、  胎面翻新技术</w:t>
      </w:r>
    </w:p>
    <w:p>
      <w:pPr>
        <w:spacing w:before="75" w:after="0"/>
      </w:pPr>
      <w:r>
        <w:rPr/>
        <w:t xml:space="preserve">二、  废旧轮胎回收</w:t>
      </w:r>
    </w:p>
    <w:p>
      <w:pPr>
        <w:spacing w:before="75" w:after="0"/>
      </w:pPr>
      <w:r>
        <w:rPr>
          <w:b w:val="1"/>
          <w:bCs w:val="1"/>
        </w:rPr>
        <w:t xml:space="preserve">第十一章 中国轮胎出海——企业案例分析</w:t>
      </w:r>
    </w:p>
    <w:p>
      <w:pPr>
        <w:spacing w:before="75" w:after="0"/>
      </w:pPr>
      <w:r>
        <w:rPr/>
        <w:t xml:space="preserve">第一节  中国轮胎出海企业对比</w:t>
      </w:r>
    </w:p>
    <w:p>
      <w:pPr>
        <w:spacing w:before="75" w:after="0"/>
      </w:pPr>
      <w:r>
        <w:rPr/>
        <w:t xml:space="preserve">第二节  国外轮胎企业跨国经营经验借鉴</w:t>
      </w:r>
    </w:p>
    <w:p>
      <w:pPr>
        <w:spacing w:before="75" w:after="0"/>
      </w:pPr>
      <w:r>
        <w:rPr/>
        <w:t xml:space="preserve">一、  米其林(michelin)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3、企业全球化布局现状</w:t>
      </w:r>
    </w:p>
    <w:p>
      <w:pPr>
        <w:spacing w:before="75" w:after="0"/>
      </w:pPr>
      <w:r>
        <w:rPr/>
        <w:t xml:space="preserve">4、企业全球化经验借鉴</w:t>
      </w:r>
    </w:p>
    <w:p>
      <w:pPr>
        <w:spacing w:before="75" w:after="0"/>
      </w:pPr>
      <w:r>
        <w:rPr/>
        <w:t xml:space="preserve">二、  普利司通(bridgestone)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3、企业全球化布局现状</w:t>
      </w:r>
    </w:p>
    <w:p>
      <w:pPr>
        <w:spacing w:before="75" w:after="0"/>
      </w:pPr>
      <w:r>
        <w:rPr/>
        <w:t xml:space="preserve">4、企业全球化经验借鉴</w:t>
      </w:r>
    </w:p>
    <w:p>
      <w:pPr>
        <w:spacing w:before="75" w:after="0"/>
      </w:pPr>
      <w:r>
        <w:rPr/>
        <w:t xml:space="preserve">三、  固特异(goodyear)</w:t>
      </w:r>
    </w:p>
    <w:p>
      <w:pPr>
        <w:spacing w:before="75" w:after="0"/>
      </w:pPr>
      <w:r>
        <w:rPr/>
        <w:t xml:space="preserve">1、企业基本信息</w:t>
      </w:r>
    </w:p>
    <w:p>
      <w:pPr>
        <w:spacing w:before="75" w:after="0"/>
      </w:pPr>
      <w:r>
        <w:rPr/>
        <w:t xml:space="preserve">2、企业经营情况</w:t>
      </w:r>
    </w:p>
    <w:p>
      <w:pPr>
        <w:spacing w:before="75" w:after="0"/>
      </w:pPr>
      <w:r>
        <w:rPr/>
        <w:t xml:space="preserve">3、企业全球化布局现状</w:t>
      </w:r>
    </w:p>
    <w:p>
      <w:pPr>
        <w:spacing w:before="75" w:after="0"/>
      </w:pPr>
      <w:r>
        <w:rPr/>
        <w:t xml:space="preserve">4、企业全球化经验借鉴</w:t>
      </w:r>
    </w:p>
    <w:p>
      <w:pPr>
        <w:spacing w:before="75" w:after="0"/>
      </w:pPr>
      <w:r>
        <w:rPr/>
        <w:t xml:space="preserve">第三节  中国轮胎企业出海布局案例分析</w:t>
      </w:r>
    </w:p>
    <w:p>
      <w:pPr>
        <w:spacing w:before="75" w:after="0"/>
      </w:pPr>
      <w:r>
        <w:rPr/>
        <w:t xml:space="preserve">一、  青岛森麒麟轮胎股份有限公司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二、  赛轮集团股份有限公司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三、  中策橡胶集团股份有限公司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四、  山东玲珑轮胎股份有限公司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五、  江苏通用科技股份有限公司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六、  浦林成山控股有限公司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七、  三角轮胎股份有限公司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八、  风神轮胎股份有限公司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九、  青岛双星轮胎工业有限公司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/>
        <w:t xml:space="preserve">十、  贵州轮胎股份有限公司</w:t>
      </w:r>
    </w:p>
    <w:p>
      <w:pPr>
        <w:spacing w:before="75" w:after="0"/>
      </w:pPr>
      <w:r>
        <w:rPr/>
        <w:t xml:space="preserve">1、企业发展历程/基本信息/产品结构/经营状况</w:t>
      </w:r>
    </w:p>
    <w:p>
      <w:pPr>
        <w:spacing w:before="75" w:after="0"/>
      </w:pPr>
      <w:r>
        <w:rPr/>
        <w:t xml:space="preserve">2、企业轮胎出口认证/合规经营/海外员工管理</w:t>
      </w:r>
    </w:p>
    <w:p>
      <w:pPr>
        <w:spacing w:before="75" w:after="0"/>
      </w:pPr>
      <w:r>
        <w:rPr/>
        <w:t xml:space="preserve">3、企业轮胎出海产品/品牌建设/本土化产品创新</w:t>
      </w:r>
    </w:p>
    <w:p>
      <w:pPr>
        <w:spacing w:before="75" w:after="0"/>
      </w:pPr>
      <w:r>
        <w:rPr/>
        <w:t xml:space="preserve">4、企业轮胎海外基地/仓储物流/全球化供应能力</w:t>
      </w:r>
    </w:p>
    <w:p>
      <w:pPr>
        <w:spacing w:before="75" w:after="0"/>
      </w:pPr>
      <w:r>
        <w:rPr/>
        <w:t xml:space="preserve">5、企业轮胎目标市场/渠道渗透/海外销售渠道</w:t>
      </w:r>
    </w:p>
    <w:p>
      <w:pPr>
        <w:spacing w:before="75" w:after="0"/>
      </w:pPr>
      <w:r>
        <w:rPr/>
        <w:t xml:space="preserve">6、企业出海布局战略&amp;优劣势分析</w:t>
      </w:r>
    </w:p>
    <w:p>
      <w:pPr>
        <w:spacing w:before="75" w:after="0"/>
      </w:pPr>
      <w:r>
        <w:rPr>
          <w:b w:val="1"/>
          <w:bCs w:val="1"/>
        </w:rPr>
        <w:t xml:space="preserve">第十二章 配套市场突破</w:t>
      </w:r>
    </w:p>
    <w:p>
      <w:pPr>
        <w:spacing w:before="75" w:after="0"/>
      </w:pPr>
      <w:r>
        <w:rPr/>
        <w:t xml:space="preserve">第一节  主机厂合作策略</w:t>
      </w:r>
    </w:p>
    <w:p>
      <w:pPr>
        <w:spacing w:before="75" w:after="0"/>
      </w:pPr>
      <w:r>
        <w:rPr/>
        <w:t xml:space="preserve">一、  新能源车配套机遇</w:t>
      </w:r>
    </w:p>
    <w:p>
      <w:pPr>
        <w:spacing w:before="75" w:after="0"/>
      </w:pPr>
      <w:r>
        <w:rPr/>
        <w:t xml:space="preserve">二、  认证周期缩短方法</w:t>
      </w:r>
    </w:p>
    <w:p>
      <w:pPr>
        <w:spacing w:before="75" w:after="0"/>
      </w:pPr>
      <w:r>
        <w:rPr/>
        <w:t xml:space="preserve">第二节  商用车细分市场</w:t>
      </w:r>
    </w:p>
    <w:p>
      <w:pPr>
        <w:spacing w:before="75" w:after="0"/>
      </w:pPr>
      <w:r>
        <w:rPr/>
        <w:t xml:space="preserve">一、  长途货运胎需求</w:t>
      </w:r>
    </w:p>
    <w:p>
      <w:pPr>
        <w:spacing w:before="75" w:after="0"/>
      </w:pPr>
      <w:r>
        <w:rPr/>
        <w:t xml:space="preserve">二、  矿用胎技术要求</w:t>
      </w:r>
    </w:p>
    <w:p>
      <w:pPr>
        <w:spacing w:before="75" w:after="0"/>
      </w:pPr>
      <w:r>
        <w:rPr/>
        <w:t xml:space="preserve">第三节  特种车辆配套</w:t>
      </w:r>
    </w:p>
    <w:p>
      <w:pPr>
        <w:spacing w:before="75" w:after="0"/>
      </w:pPr>
      <w:r>
        <w:rPr/>
        <w:t xml:space="preserve">一、  工程机械轮胎</w:t>
      </w:r>
    </w:p>
    <w:p>
      <w:pPr>
        <w:spacing w:before="75" w:after="0"/>
      </w:pPr>
      <w:r>
        <w:rPr/>
        <w:t xml:space="preserve">二、  航空胎技术壁垒</w:t>
      </w:r>
    </w:p>
    <w:p>
      <w:pPr>
        <w:spacing w:before="75" w:after="0"/>
      </w:pPr>
      <w:r>
        <w:rPr>
          <w:b w:val="1"/>
          <w:bCs w:val="1"/>
        </w:rPr>
        <w:t xml:space="preserve">第十三章 售后服务体系建设</w:t>
      </w:r>
    </w:p>
    <w:p>
      <w:pPr>
        <w:spacing w:before="75" w:after="0"/>
      </w:pPr>
      <w:r>
        <w:rPr/>
        <w:t xml:space="preserve">第一节  全球服务网络</w:t>
      </w:r>
    </w:p>
    <w:p>
      <w:pPr>
        <w:spacing w:before="75" w:after="0"/>
      </w:pPr>
      <w:r>
        <w:rPr/>
        <w:t xml:space="preserve">一、  技术服务中心布局</w:t>
      </w:r>
    </w:p>
    <w:p>
      <w:pPr>
        <w:spacing w:before="75" w:after="0"/>
      </w:pPr>
      <w:r>
        <w:rPr/>
        <w:t xml:space="preserve">二、  移动服务车配置</w:t>
      </w:r>
    </w:p>
    <w:p>
      <w:pPr>
        <w:spacing w:before="75" w:after="0"/>
      </w:pPr>
      <w:r>
        <w:rPr/>
        <w:t xml:space="preserve">第二节  数字化服务</w:t>
      </w:r>
    </w:p>
    <w:p>
      <w:pPr>
        <w:spacing w:before="75" w:after="0"/>
      </w:pPr>
      <w:r>
        <w:rPr/>
        <w:t xml:space="preserve">一、  胎压监测云平台</w:t>
      </w:r>
    </w:p>
    <w:p>
      <w:pPr>
        <w:spacing w:before="75" w:after="0"/>
      </w:pPr>
      <w:r>
        <w:rPr/>
        <w:t xml:space="preserve">二、  ar远程指导</w:t>
      </w:r>
    </w:p>
    <w:p>
      <w:pPr>
        <w:spacing w:before="75" w:after="0"/>
      </w:pPr>
      <w:r>
        <w:rPr/>
        <w:t xml:space="preserve">第三节  培训认证体系</w:t>
      </w:r>
    </w:p>
    <w:p>
      <w:pPr>
        <w:spacing w:before="75" w:after="0"/>
      </w:pPr>
      <w:r>
        <w:rPr/>
        <w:t xml:space="preserve">一、  安装技师认证</w:t>
      </w:r>
    </w:p>
    <w:p>
      <w:pPr>
        <w:spacing w:before="75" w:after="0"/>
      </w:pPr>
      <w:r>
        <w:rPr/>
        <w:t xml:space="preserve">二、  零售商培训</w:t>
      </w:r>
    </w:p>
    <w:p>
      <w:pPr>
        <w:spacing w:before="75" w:after="0"/>
      </w:pPr>
      <w:r>
        <w:rPr>
          <w:b w:val="1"/>
          <w:bCs w:val="1"/>
        </w:rPr>
        <w:t xml:space="preserve">第十四章 原材料战略保障</w:t>
      </w:r>
    </w:p>
    <w:p>
      <w:pPr>
        <w:spacing w:before="75" w:after="0"/>
      </w:pPr>
      <w:r>
        <w:rPr/>
        <w:t xml:space="preserve">第一节  天然橡胶供应</w:t>
      </w:r>
    </w:p>
    <w:p>
      <w:pPr>
        <w:spacing w:before="75" w:after="0"/>
      </w:pPr>
      <w:r>
        <w:rPr/>
        <w:t xml:space="preserve">一、  东南亚种植园合作</w:t>
      </w:r>
    </w:p>
    <w:p>
      <w:pPr>
        <w:spacing w:before="75" w:after="0"/>
      </w:pPr>
      <w:r>
        <w:rPr/>
        <w:t xml:space="preserve">二、  非洲新产区开发</w:t>
      </w:r>
    </w:p>
    <w:p>
      <w:pPr>
        <w:spacing w:before="75" w:after="0"/>
      </w:pPr>
      <w:r>
        <w:rPr/>
        <w:t xml:space="preserve">第二节  合成橡胶创新</w:t>
      </w:r>
    </w:p>
    <w:p>
      <w:pPr>
        <w:spacing w:before="75" w:after="0"/>
      </w:pPr>
      <w:r>
        <w:rPr/>
        <w:t xml:space="preserve">一、  稀土顺丁橡胶</w:t>
      </w:r>
    </w:p>
    <w:p>
      <w:pPr>
        <w:spacing w:before="75" w:after="0"/>
      </w:pPr>
      <w:r>
        <w:rPr/>
        <w:t xml:space="preserve">二、  溶聚丁苯进展</w:t>
      </w:r>
    </w:p>
    <w:p>
      <w:pPr>
        <w:spacing w:before="75" w:after="0"/>
      </w:pPr>
      <w:r>
        <w:rPr/>
        <w:t xml:space="preserve">第三节  全球化采购</w:t>
      </w:r>
    </w:p>
    <w:p>
      <w:pPr>
        <w:spacing w:before="75" w:after="0"/>
      </w:pPr>
      <w:r>
        <w:rPr/>
        <w:t xml:space="preserve">一、  炭黑供应安全</w:t>
      </w:r>
    </w:p>
    <w:p>
      <w:pPr>
        <w:spacing w:before="75" w:after="0"/>
      </w:pPr>
      <w:r>
        <w:rPr/>
        <w:t xml:space="preserve">二、  钢丝帘线布局</w:t>
      </w:r>
    </w:p>
    <w:p>
      <w:pPr>
        <w:spacing w:before="75" w:after="0"/>
      </w:pPr>
      <w:r>
        <w:rPr>
          <w:b w:val="1"/>
          <w:bCs w:val="1"/>
        </w:rPr>
        <w:t xml:space="preserve">第十五章 物流与供应链优化</w:t>
      </w:r>
    </w:p>
    <w:p>
      <w:pPr>
        <w:spacing w:before="75" w:after="0"/>
      </w:pPr>
      <w:r>
        <w:rPr/>
        <w:t xml:space="preserve">第一节  海运成本控制</w:t>
      </w:r>
    </w:p>
    <w:p>
      <w:pPr>
        <w:spacing w:before="75" w:after="0"/>
      </w:pPr>
      <w:r>
        <w:rPr/>
        <w:t xml:space="preserve">一、  集装箱装载优化</w:t>
      </w:r>
    </w:p>
    <w:p>
      <w:pPr>
        <w:spacing w:before="75" w:after="0"/>
      </w:pPr>
      <w:r>
        <w:rPr/>
        <w:t xml:space="preserve">二、  航线组合策略</w:t>
      </w:r>
    </w:p>
    <w:p>
      <w:pPr>
        <w:spacing w:before="75" w:after="0"/>
      </w:pPr>
      <w:r>
        <w:rPr/>
        <w:t xml:space="preserve">第二节  区域仓储网络</w:t>
      </w:r>
    </w:p>
    <w:p>
      <w:pPr>
        <w:spacing w:before="75" w:after="0"/>
      </w:pPr>
      <w:r>
        <w:rPr/>
        <w:t xml:space="preserve">一、  海外仓选址模型</w:t>
      </w:r>
    </w:p>
    <w:p>
      <w:pPr>
        <w:spacing w:before="75" w:after="0"/>
      </w:pPr>
      <w:r>
        <w:rPr/>
        <w:t xml:space="preserve">二、  库存周转提升</w:t>
      </w:r>
    </w:p>
    <w:p>
      <w:pPr>
        <w:spacing w:before="75" w:after="0"/>
      </w:pPr>
      <w:r>
        <w:rPr/>
        <w:t xml:space="preserve">第三节  应急响应机制</w:t>
      </w:r>
    </w:p>
    <w:p>
      <w:pPr>
        <w:spacing w:before="75" w:after="0"/>
      </w:pPr>
      <w:r>
        <w:rPr/>
        <w:t xml:space="preserve">一、  地缘冲突应对</w:t>
      </w:r>
    </w:p>
    <w:p>
      <w:pPr>
        <w:spacing w:before="75" w:after="0"/>
      </w:pPr>
      <w:r>
        <w:rPr/>
        <w:t xml:space="preserve">二、  自然灾害预案</w:t>
      </w:r>
    </w:p>
    <w:p>
      <w:pPr>
        <w:spacing w:before="75" w:after="0"/>
      </w:pPr>
      <w:r>
        <w:rPr>
          <w:b w:val="1"/>
          <w:bCs w:val="1"/>
        </w:rPr>
        <w:t xml:space="preserve">第十六章 风险预警与应对</w:t>
      </w:r>
    </w:p>
    <w:p>
      <w:pPr>
        <w:spacing w:before="75" w:after="0"/>
      </w:pPr>
      <w:r>
        <w:rPr/>
        <w:t xml:space="preserve">第一节  贸易救济调查</w:t>
      </w:r>
    </w:p>
    <w:p>
      <w:pPr>
        <w:spacing w:before="75" w:after="0"/>
      </w:pPr>
      <w:r>
        <w:rPr/>
        <w:t xml:space="preserve">一、  反规避调查防范</w:t>
      </w:r>
    </w:p>
    <w:p>
      <w:pPr>
        <w:spacing w:before="75" w:after="0"/>
      </w:pPr>
      <w:r>
        <w:rPr/>
        <w:t xml:space="preserve">二、  替代国价格策略</w:t>
      </w:r>
    </w:p>
    <w:p>
      <w:pPr>
        <w:spacing w:before="75" w:after="0"/>
      </w:pPr>
      <w:r>
        <w:rPr/>
        <w:t xml:space="preserve">第二节  合规管理</w:t>
      </w:r>
    </w:p>
    <w:p>
      <w:pPr>
        <w:spacing w:before="75" w:after="0"/>
      </w:pPr>
      <w:r>
        <w:rPr/>
        <w:t xml:space="preserve">一、  数据跨境流动</w:t>
      </w:r>
    </w:p>
    <w:p>
      <w:pPr>
        <w:spacing w:before="75" w:after="0"/>
      </w:pPr>
      <w:r>
        <w:rPr/>
        <w:t xml:space="preserve">二、  反腐败合规</w:t>
      </w:r>
    </w:p>
    <w:p>
      <w:pPr>
        <w:spacing w:before="75" w:after="0"/>
      </w:pPr>
      <w:r>
        <w:rPr/>
        <w:t xml:space="preserve">第三节  汇率风险管理</w:t>
      </w:r>
    </w:p>
    <w:p>
      <w:pPr>
        <w:spacing w:before="75" w:after="0"/>
      </w:pPr>
      <w:r>
        <w:rPr/>
        <w:t xml:space="preserve">一、  套期保值工具</w:t>
      </w:r>
    </w:p>
    <w:p>
      <w:pPr>
        <w:spacing w:before="75" w:after="0"/>
      </w:pPr>
      <w:r>
        <w:rPr/>
        <w:t xml:space="preserve">二、  本地货币结算</w:t>
      </w:r>
    </w:p>
    <w:p>
      <w:pPr>
        <w:spacing w:before="75" w:after="0"/>
      </w:pPr>
      <w:r>
        <w:rPr>
          <w:b w:val="1"/>
          <w:bCs w:val="1"/>
        </w:rPr>
        <w:t xml:space="preserve">第十七章 商业模式创新</w:t>
      </w:r>
    </w:p>
    <w:p>
      <w:pPr>
        <w:spacing w:before="75" w:after="0"/>
      </w:pPr>
      <w:r>
        <w:rPr/>
        <w:t xml:space="preserve">第一节  轮胎即服务</w:t>
      </w:r>
    </w:p>
    <w:p>
      <w:pPr>
        <w:spacing w:before="75" w:after="0"/>
      </w:pPr>
      <w:r>
        <w:rPr/>
        <w:t xml:space="preserve">一、  按里程付费模式</w:t>
      </w:r>
    </w:p>
    <w:p>
      <w:pPr>
        <w:spacing w:before="75" w:after="0"/>
      </w:pPr>
      <w:r>
        <w:rPr/>
        <w:t xml:space="preserve">二、  租赁业务发展</w:t>
      </w:r>
    </w:p>
    <w:p>
      <w:pPr>
        <w:spacing w:before="75" w:after="0"/>
      </w:pPr>
      <w:r>
        <w:rPr/>
        <w:t xml:space="preserve">第二节  循环商业模式</w:t>
      </w:r>
    </w:p>
    <w:p>
      <w:pPr>
        <w:spacing w:before="75" w:after="0"/>
      </w:pPr>
      <w:r>
        <w:rPr/>
        <w:t xml:space="preserve">一、  胎面翻新合作</w:t>
      </w:r>
    </w:p>
    <w:p>
      <w:pPr>
        <w:spacing w:before="75" w:after="0"/>
      </w:pPr>
      <w:r>
        <w:rPr/>
        <w:t xml:space="preserve">二、  以旧换新体系</w:t>
      </w:r>
    </w:p>
    <w:p>
      <w:pPr>
        <w:spacing w:before="75" w:after="0"/>
      </w:pPr>
      <w:r>
        <w:rPr/>
        <w:t xml:space="preserve">第三节  数据增值服务</w:t>
      </w:r>
    </w:p>
    <w:p>
      <w:pPr>
        <w:spacing w:before="75" w:after="0"/>
      </w:pPr>
      <w:r>
        <w:rPr/>
        <w:t xml:space="preserve">一、  胎压数据应用</w:t>
      </w:r>
    </w:p>
    <w:p>
      <w:pPr>
        <w:spacing w:before="75" w:after="0"/>
      </w:pPr>
      <w:r>
        <w:rPr/>
        <w:t xml:space="preserve">二、  车队管理方案</w:t>
      </w:r>
    </w:p>
    <w:p>
      <w:pPr>
        <w:spacing w:before="75" w:after="0"/>
      </w:pPr>
      <w:r>
        <w:rPr>
          <w:b w:val="1"/>
          <w:bCs w:val="1"/>
        </w:rPr>
        <w:t xml:space="preserve">第十八章 政策支持体系</w:t>
      </w:r>
    </w:p>
    <w:p>
      <w:pPr>
        <w:spacing w:before="75" w:after="0"/>
      </w:pPr>
      <w:r>
        <w:rPr/>
        <w:t xml:space="preserve">第一节  国家层面支持</w:t>
      </w:r>
    </w:p>
    <w:p>
      <w:pPr>
        <w:spacing w:before="75" w:after="0"/>
      </w:pPr>
      <w:r>
        <w:rPr/>
        <w:t xml:space="preserve">一、  出口信保政策</w:t>
      </w:r>
    </w:p>
    <w:p>
      <w:pPr>
        <w:spacing w:before="75" w:after="0"/>
      </w:pPr>
      <w:r>
        <w:rPr/>
        <w:t xml:space="preserve">二、  海外投资保险</w:t>
      </w:r>
    </w:p>
    <w:p>
      <w:pPr>
        <w:spacing w:before="75" w:after="0"/>
      </w:pPr>
      <w:r>
        <w:rPr/>
        <w:t xml:space="preserve">第二节  地方配套措施</w:t>
      </w:r>
    </w:p>
    <w:p>
      <w:pPr>
        <w:spacing w:before="75" w:after="0"/>
      </w:pPr>
      <w:r>
        <w:rPr/>
        <w:t xml:space="preserve">一、  产业集群出海</w:t>
      </w:r>
    </w:p>
    <w:p>
      <w:pPr>
        <w:spacing w:before="75" w:after="0"/>
      </w:pPr>
      <w:r>
        <w:rPr/>
        <w:t xml:space="preserve">二、  单一窗口便利</w:t>
      </w:r>
    </w:p>
    <w:p>
      <w:pPr>
        <w:spacing w:before="75" w:after="0"/>
      </w:pPr>
      <w:r>
        <w:rPr/>
        <w:t xml:space="preserve">第三节  行业协会作用</w:t>
      </w:r>
    </w:p>
    <w:p>
      <w:pPr>
        <w:spacing w:before="75" w:after="0"/>
      </w:pPr>
      <w:r>
        <w:rPr/>
        <w:t xml:space="preserve">一、  国际标准参与</w:t>
      </w:r>
    </w:p>
    <w:p>
      <w:pPr>
        <w:spacing w:before="75" w:after="0"/>
      </w:pPr>
      <w:r>
        <w:rPr/>
        <w:t xml:space="preserve">二、  集体应诉机制</w:t>
      </w:r>
    </w:p>
    <w:p>
      <w:pPr>
        <w:spacing w:before="75" w:after="0"/>
      </w:pPr>
      <w:r>
        <w:rPr>
          <w:b w:val="1"/>
          <w:bCs w:val="1"/>
        </w:rPr>
        <w:t xml:space="preserve">第十九章 2030年发展预测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定量预测模型</w:t>
      </w:r>
    </w:p>
    <w:p>
      <w:pPr>
        <w:spacing w:before="75" w:after="0"/>
      </w:pPr>
      <w:r>
        <w:rPr/>
        <w:t xml:space="preserve">二、  情景分析框架</w:t>
      </w:r>
    </w:p>
    <w:p>
      <w:pPr>
        <w:spacing w:before="75" w:after="0"/>
      </w:pPr>
      <w:r>
        <w:rPr/>
        <w:t xml:space="preserve">第二节  竞争格局演变</w:t>
      </w:r>
    </w:p>
    <w:p>
      <w:pPr>
        <w:spacing w:before="75" w:after="0"/>
      </w:pPr>
      <w:r>
        <w:rPr/>
        <w:t xml:space="preserve">一、  全球份额变化</w:t>
      </w:r>
    </w:p>
    <w:p>
      <w:pPr>
        <w:spacing w:before="75" w:after="0"/>
      </w:pPr>
      <w:r>
        <w:rPr/>
        <w:t xml:space="preserve">二、  新进入者影响</w:t>
      </w:r>
    </w:p>
    <w:p>
      <w:pPr>
        <w:spacing w:before="75" w:after="0"/>
      </w:pPr>
      <w:r>
        <w:rPr/>
        <w:t xml:space="preserve">第三节  技术突破方向</w:t>
      </w:r>
    </w:p>
    <w:p>
      <w:pPr>
        <w:spacing w:before="75" w:after="0"/>
      </w:pPr>
      <w:r>
        <w:rPr/>
        <w:t xml:space="preserve">一、  自修复轮胎</w:t>
      </w:r>
    </w:p>
    <w:p>
      <w:pPr>
        <w:spacing w:before="75" w:after="0"/>
      </w:pPr>
      <w:r>
        <w:rPr/>
        <w:t xml:space="preserve">二、  发电轮胎</w:t>
      </w:r>
    </w:p>
    <w:p>
      <w:pPr>
        <w:spacing w:before="75" w:after="0"/>
      </w:pPr>
      <w:r>
        <w:rPr>
          <w:b w:val="1"/>
          <w:bCs w:val="1"/>
        </w:rPr>
        <w:t xml:space="preserve">第二十章 战略建议与路径</w:t>
      </w:r>
    </w:p>
    <w:p>
      <w:pPr>
        <w:spacing w:before="75" w:after="0"/>
      </w:pPr>
      <w:r>
        <w:rPr/>
        <w:t xml:space="preserve">第一节  企业实施建议</w:t>
      </w:r>
    </w:p>
    <w:p>
      <w:pPr>
        <w:spacing w:before="75" w:after="0"/>
      </w:pPr>
      <w:r>
        <w:rPr/>
        <w:t xml:space="preserve">一、  产品-市场矩阵</w:t>
      </w:r>
    </w:p>
    <w:p>
      <w:pPr>
        <w:spacing w:before="75" w:after="0"/>
      </w:pPr>
      <w:r>
        <w:rPr/>
        <w:t xml:space="preserve">二、  资源配置优先级</w:t>
      </w:r>
    </w:p>
    <w:p>
      <w:pPr>
        <w:spacing w:before="75" w:after="0"/>
      </w:pPr>
      <w:r>
        <w:rPr/>
        <w:t xml:space="preserve">第二节  产业协同建议</w:t>
      </w:r>
    </w:p>
    <w:p>
      <w:pPr>
        <w:spacing w:before="75" w:after="0"/>
      </w:pPr>
      <w:r>
        <w:rPr/>
        <w:t xml:space="preserve">一、  技术联合攻关</w:t>
      </w:r>
    </w:p>
    <w:p>
      <w:pPr>
        <w:spacing w:before="75" w:after="0"/>
      </w:pPr>
      <w:r>
        <w:rPr/>
        <w:t xml:space="preserve">二、  原材料集采</w:t>
      </w:r>
    </w:p>
    <w:p>
      <w:pPr>
        <w:spacing w:before="75" w:after="0"/>
      </w:pPr>
      <w:r>
        <w:rPr/>
        <w:t xml:space="preserve">第三节  政策配套建议</w:t>
      </w:r>
    </w:p>
    <w:p>
      <w:pPr>
        <w:spacing w:before="75" w:after="0"/>
      </w:pPr>
      <w:r>
        <w:rPr/>
        <w:t xml:space="preserve">一、  自贸区升级</w:t>
      </w:r>
    </w:p>
    <w:p>
      <w:pPr>
        <w:spacing w:before="75" w:after="0"/>
      </w:pPr>
      <w:r>
        <w:rPr/>
        <w:t xml:space="preserve">二、  认证互认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图表：全球轮胎产业转移路径(2025)</w:t>
      </w:r>
    </w:p>
    <w:p>
      <w:pPr>
        <w:spacing w:before="75" w:after="0"/>
      </w:pPr>
      <w:r>
        <w:rPr/>
        <w:t xml:space="preserve">图表：各区域市场轮胎需求增速预测(2026-2031)</w:t>
      </w:r>
    </w:p>
    <w:p>
      <w:pPr>
        <w:spacing w:before="75" w:after="0"/>
      </w:pPr>
      <w:r>
        <w:rPr/>
        <w:t xml:space="preserve">图表：中国轮胎企业研发投入强度对比</w:t>
      </w:r>
    </w:p>
    <w:p>
      <w:pPr>
        <w:spacing w:before="75" w:after="0"/>
      </w:pPr>
      <w:r>
        <w:rPr/>
        <w:t xml:space="preserve">图表：主要市场贸易壁垒影响评估</w:t>
      </w:r>
    </w:p>
    <w:p>
      <w:pPr>
        <w:spacing w:before="75" w:after="0"/>
      </w:pPr>
      <w:r>
        <w:rPr/>
        <w:t xml:space="preserve">图表：中国轮胎出口单价变化趋势(2023-2025年)</w:t>
      </w:r>
    </w:p>
    <w:p>
      <w:pPr>
        <w:spacing w:before="75" w:after="0"/>
      </w:pPr>
      <w:r>
        <w:rPr/>
        <w:t xml:space="preserve">图表：东南亚各国轮胎投资优惠政策</w:t>
      </w:r>
    </w:p>
    <w:p>
      <w:pPr>
        <w:spacing w:before="75" w:after="0"/>
      </w:pPr>
      <w:r>
        <w:rPr/>
        <w:t xml:space="preserve">图表：轮胎性能指标雷达图对比</w:t>
      </w:r>
    </w:p>
    <w:p>
      <w:pPr>
        <w:spacing w:before="75" w:after="0"/>
      </w:pPr>
      <w:r>
        <w:rPr/>
        <w:t xml:space="preserve">图表：海外建厂选址评估矩阵</w:t>
      </w:r>
    </w:p>
    <w:p>
      <w:pPr>
        <w:spacing w:before="75" w:after="0"/>
      </w:pPr>
      <w:r>
        <w:rPr/>
        <w:t xml:space="preserve">图表：中国轮胎品牌国际认知度调查</w:t>
      </w:r>
    </w:p>
    <w:p>
      <w:pPr>
        <w:spacing w:before="75" w:after="0"/>
      </w:pPr>
      <w:r>
        <w:rPr/>
        <w:t xml:space="preserve">图表：绿色轮胎材料技术路线</w:t>
      </w:r>
    </w:p>
    <w:p>
      <w:pPr>
        <w:spacing w:before="75" w:after="0"/>
      </w:pPr>
      <w:r>
        <w:rPr/>
        <w:t xml:space="preserve">图表：轮胎智能制造示范线架构</w:t>
      </w:r>
    </w:p>
    <w:p>
      <w:pPr>
        <w:spacing w:before="75" w:after="0"/>
      </w:pPr>
      <w:r>
        <w:rPr/>
        <w:t xml:space="preserve">图表：新能源车轮胎配套规格</w:t>
      </w:r>
    </w:p>
    <w:p>
      <w:pPr>
        <w:spacing w:before="75" w:after="0"/>
      </w:pPr>
      <w:r>
        <w:rPr/>
        <w:t xml:space="preserve">图表：全球售后服务网络覆盖</w:t>
      </w:r>
    </w:p>
    <w:p>
      <w:pPr>
        <w:spacing w:before="75" w:after="0"/>
      </w:pPr>
      <w:r>
        <w:rPr/>
        <w:t xml:space="preserve">图表：天然橡胶采购渠道优化</w:t>
      </w:r>
    </w:p>
    <w:p>
      <w:pPr>
        <w:spacing w:before="75" w:after="0"/>
      </w:pPr>
      <w:r>
        <w:rPr/>
        <w:t xml:space="preserve">图表：轮胎海运装载优化方案</w:t>
      </w:r>
    </w:p>
    <w:p>
      <w:pPr>
        <w:spacing w:before="75" w:after="0"/>
      </w:pPr>
      <w:r>
        <w:rPr/>
        <w:t xml:space="preserve">图表：主要货币汇率风险敞口</w:t>
      </w:r>
    </w:p>
    <w:p>
      <w:pPr>
        <w:spacing w:before="75" w:after="0"/>
      </w:pPr>
      <w:r>
        <w:rPr/>
        <w:t xml:space="preserve">图表：轮胎即服务商业模式</w:t>
      </w:r>
    </w:p>
    <w:p>
      <w:pPr>
        <w:spacing w:before="75" w:after="0"/>
      </w:pPr>
      <w:r>
        <w:rPr/>
        <w:t xml:space="preserve">图表：各省市出海扶持政策</w:t>
      </w:r>
    </w:p>
    <w:p>
      <w:pPr>
        <w:spacing w:before="75" w:after="0"/>
      </w:pPr>
      <w:r>
        <w:rPr/>
        <w:t xml:space="preserve">图表：2030年市场份额预测</w:t>
      </w:r>
    </w:p>
    <w:p>
      <w:pPr>
        <w:spacing w:before="75" w:after="0"/>
      </w:pPr>
      <w:r>
        <w:rPr/>
        <w:t xml:space="preserve">图表：战略实施路线图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本文地址：https://www.51baogao.cn/baogao/20250715/2983571.shtml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715/298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中国轮胎出海战略规划及企业案例与前景预测研究报告(2026-2031版)</dc:title>
  <dc:description>中国轮胎出海战略规划及企业案例与前景预测研究报告(2026-2031版)</dc:description>
  <dc:subject>中国轮胎出海战略规划及企业案例与前景预测研究报告(2026-2031版)</dc:subject>
  <cp:keywords>研究报告</cp:keywords>
  <cp:category>研究报告</cp:category>
  <cp:lastModifiedBy>北京中道泰和信息咨询有限公司</cp:lastModifiedBy>
  <dcterms:created xsi:type="dcterms:W3CDTF">2026-04-08T17:47:50+08:00</dcterms:created>
  <dcterms:modified xsi:type="dcterms:W3CDTF">2026-04-08T17:47:50+08:00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