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中国AI智能体行业市场深度调研及商业模式与发展预测研究报告(2026-2031版)</w:t>
      </w:r>
    </w:p>
    <w:p>
      <w:pPr>
        <w:spacing w:after="150"/>
      </w:pPr>
      <w:r>
        <w:rPr>
          <w:b w:val="1"/>
          <w:bCs w:val="1"/>
        </w:rPr>
        <w:t xml:space="preserve">报告简介</w:t>
      </w:r>
    </w:p>
    <w:p>
      <w:pPr>
        <w:spacing w:after="150"/>
      </w:pPr>
      <w:r>
        <w:rPr/>
        <w:t xml:space="preserve">AI智能体(人工智能智能体)是一种能够自主感知环境、通过内在智能处理进行决策并执行相应行动以达成特定目标的智能体。它具备自主性、交互性、反应性和适应性等基本特征，与传统的人工智能工具相比，AI智能体能够独立规划任务路径、调用工具并执行决策，最终在无需人工干预的情况下实现预设目标。这种能力使其在多个领域展现出巨大的应用潜力，从智能客服到自动驾驶，再到复杂的工业自动化，AI智能体正逐渐成为推动各行业智能化转型的关键力量。</w:t>
      </w:r>
    </w:p>
    <w:p>
      <w:pPr>
        <w:spacing w:after="150"/>
      </w:pPr>
      <w:r>
        <w:rPr/>
        <w:t xml:space="preserve">当前，AI智能体行业正处于快速发展的关键时期。随着大语言模型(LLM)技术的突破，AI智能体已经从简单的任务执行工具逐步进化为能够处理复杂任务的智能系统。其应用场景不断拓展，从电信、制造到金融、政务、能源等多个垂直行业，AI智能体正在重塑企业的运营模式和生产效率。例如，百度文心智能体平台通过与黄山旅游景区合作，构建了“真人向导+数字人”的创新模式，实现了个性化行程推荐和高效的服务对接。这种从“内容生产中枢”到“行业服务引擎”的转变，标志着AI智能体正在成为各行业数字化转型的核心驱动力。</w:t>
      </w:r>
    </w:p>
    <w:p>
      <w:pPr>
        <w:spacing w:after="150"/>
      </w:pPr>
      <w:r>
        <w:rPr/>
        <w:t xml:space="preserve">展望2026-2031年，AI智能体行业将呈现多维度的发展趋势。技术创新方面，AI智能体将朝着更强大的认知和推理能力发展，世界模型的研究有望赋予其更高级别的认知和更符合逻辑的推理与决策能力。同时，合成数据将成为大模型迭代与应用落地的重要催化剂，通过生成高质量的合成数据，可以降低对真实数据的依赖，缓解数据隐私问题，提升模型的泛化能力和处理复杂问题的能力。从行业融合前景来看，AI智能体将进一步推动各行业的深度融合与创新发展，重构企业工作流，实现从市场营销到财务管理的全流程自动化。此外，AI智能体与物联网、区块链等新兴技术的融合也将创造更多新的应用场景和商业模式。随着技术的不断进步和市场的逐步成熟，AI智能体将成为推动经济社会发展的重要力量，为各行业带来前所未有的变革和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AI智能体行业研究单位等公布和提供的大量资料。报告对我国AI智能体行业的供需状况、发展现状、子行业发展变化等进行了分析，重点分析了国内外AI智能体行业的发展现状、如何面对行业的发展挑战、行业的发展建议、行业竞争力，以及行业的投资分析和趋势预测等等。报告还综合了AI智能体行业的整体发展动态，对行业在产品方面提供了参考建议和具体解决办法。报告对于AI智能体产品生产企业、经销商、行业管理部门以及拟进入该行业的投资者具有重要的参考价值，对于研究我国AI智能体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报告摘要</w:t>
      </w:r>
    </w:p>
    <w:p>
      <w:pPr>
        <w:spacing w:before="75" w:after="0"/>
      </w:pPr>
      <w:r>
        <w:rPr/>
        <w:t xml:space="preserve">第一节  核心发现与关键结论</w:t>
      </w:r>
    </w:p>
    <w:p>
      <w:pPr>
        <w:spacing w:before="75" w:after="0"/>
      </w:pPr>
      <w:r>
        <w:rPr/>
        <w:t xml:space="preserve">第二节  研究方法论与数据来源</w:t>
      </w:r>
    </w:p>
    <w:p>
      <w:pPr>
        <w:spacing w:before="75" w:after="0"/>
      </w:pPr>
      <w:r>
        <w:rPr/>
        <w:t xml:space="preserve">第三节  报告价值与应用场景</w:t>
      </w:r>
    </w:p>
    <w:p>
      <w:pPr>
        <w:spacing w:before="75" w:after="0"/>
      </w:pPr>
      <w:r>
        <w:rPr>
          <w:b w:val="1"/>
          <w:bCs w:val="1"/>
        </w:rPr>
        <w:t xml:space="preserve">第二章 中国ai智能体行业宏观环境分析</w:t>
      </w:r>
    </w:p>
    <w:p>
      <w:pPr>
        <w:spacing w:before="75" w:after="0"/>
      </w:pPr>
      <w:r>
        <w:rPr/>
        <w:t xml:space="preserve">第一节  政策环境</w:t>
      </w:r>
    </w:p>
    <w:p>
      <w:pPr>
        <w:spacing w:before="75" w:after="0"/>
      </w:pPr>
      <w:r>
        <w:rPr/>
        <w:t xml:space="preserve">一、  国家ai战略阶段性总结与‘十五五’政策前瞻</w:t>
      </w:r>
    </w:p>
    <w:p>
      <w:pPr>
        <w:spacing w:before="75" w:after="0"/>
      </w:pPr>
      <w:r>
        <w:rPr/>
        <w:t xml:space="preserve">二、  2024-2025年最新ai监管框架分析</w:t>
      </w:r>
    </w:p>
    <w:p>
      <w:pPr>
        <w:spacing w:before="75" w:after="0"/>
      </w:pPr>
      <w:r>
        <w:rPr/>
        <w:t xml:space="preserve">三、  数据安全法与ai伦理规范影响评估</w:t>
      </w:r>
    </w:p>
    <w:p>
      <w:pPr>
        <w:spacing w:before="75" w:after="0"/>
      </w:pPr>
      <w:r>
        <w:rPr/>
        <w:t xml:space="preserve">第二节  经济环境</w:t>
      </w:r>
    </w:p>
    <w:p>
      <w:pPr>
        <w:spacing w:before="75" w:after="0"/>
      </w:pPr>
      <w:r>
        <w:rPr/>
        <w:t xml:space="preserve">一、  宏观经济走势对ai投资的影响</w:t>
      </w:r>
    </w:p>
    <w:p>
      <w:pPr>
        <w:spacing w:before="75" w:after="0"/>
      </w:pPr>
      <w:r>
        <w:rPr/>
        <w:t xml:space="preserve">二、  数字经济占gdp比重预测(2026-2031)</w:t>
      </w:r>
    </w:p>
    <w:p>
      <w:pPr>
        <w:spacing w:before="75" w:after="0"/>
      </w:pPr>
      <w:r>
        <w:rPr/>
        <w:t xml:space="preserve">三、  区域经济差异与ai产业布局</w:t>
      </w:r>
    </w:p>
    <w:p>
      <w:pPr>
        <w:spacing w:before="75" w:after="0"/>
      </w:pPr>
      <w:r>
        <w:rPr/>
        <w:t xml:space="preserve">第三节  社会环境</w:t>
      </w:r>
    </w:p>
    <w:p>
      <w:pPr>
        <w:spacing w:before="75" w:after="0"/>
      </w:pPr>
      <w:r>
        <w:rPr/>
        <w:t xml:space="preserve">一、  人口结构与劳动力市场变革</w:t>
      </w:r>
    </w:p>
    <w:p>
      <w:pPr>
        <w:spacing w:before="75" w:after="0"/>
      </w:pPr>
      <w:r>
        <w:rPr/>
        <w:t xml:space="preserve">二、  消费者ai接受度调研(2025最新数据)</w:t>
      </w:r>
    </w:p>
    <w:p>
      <w:pPr>
        <w:spacing w:before="75" w:after="0"/>
      </w:pPr>
      <w:r>
        <w:rPr/>
        <w:t xml:space="preserve">三、  数字鸿沟与社会公平问题</w:t>
      </w:r>
    </w:p>
    <w:p>
      <w:pPr>
        <w:spacing w:before="75" w:after="0"/>
      </w:pPr>
      <w:r>
        <w:rPr/>
        <w:t xml:space="preserve">第四节  技术环境</w:t>
      </w:r>
    </w:p>
    <w:p>
      <w:pPr>
        <w:spacing w:before="75" w:after="0"/>
      </w:pPr>
      <w:r>
        <w:rPr/>
        <w:t xml:space="preserve">一、  全球ai技术突破与专利分析</w:t>
      </w:r>
    </w:p>
    <w:p>
      <w:pPr>
        <w:spacing w:before="75" w:after="0"/>
      </w:pPr>
      <w:r>
        <w:rPr/>
        <w:t xml:space="preserve">二、  中国ai基础研究现状评估</w:t>
      </w:r>
    </w:p>
    <w:p>
      <w:pPr>
        <w:spacing w:before="75" w:after="0"/>
      </w:pPr>
      <w:r>
        <w:rPr/>
        <w:t xml:space="preserve">三、  关键技术卡脖子问题诊断</w:t>
      </w:r>
    </w:p>
    <w:p>
      <w:pPr>
        <w:spacing w:before="75" w:after="0"/>
      </w:pPr>
      <w:r>
        <w:rPr>
          <w:b w:val="1"/>
          <w:bCs w:val="1"/>
        </w:rPr>
        <w:t xml:space="preserve">第三章 全球ai智能体行业发展现状</w:t>
      </w:r>
    </w:p>
    <w:p>
      <w:pPr>
        <w:spacing w:before="75" w:after="0"/>
      </w:pPr>
      <w:r>
        <w:rPr/>
        <w:t xml:space="preserve">第一节  市场规模与增长轨迹</w:t>
      </w:r>
    </w:p>
    <w:p>
      <w:pPr>
        <w:spacing w:before="75" w:after="0"/>
      </w:pPr>
      <w:r>
        <w:rPr/>
        <w:t xml:space="preserve">一、  2021-2026年历史数据分析</w:t>
      </w:r>
    </w:p>
    <w:p>
      <w:pPr>
        <w:spacing w:before="75" w:after="0"/>
      </w:pPr>
      <w:r>
        <w:rPr/>
        <w:t xml:space="preserve">二、  2026-2031年复合增长率预测</w:t>
      </w:r>
    </w:p>
    <w:p>
      <w:pPr>
        <w:spacing w:before="75" w:after="0"/>
      </w:pPr>
      <w:r>
        <w:rPr/>
        <w:t xml:space="preserve">第二节  区域竞争格局</w:t>
      </w:r>
    </w:p>
    <w:p>
      <w:pPr>
        <w:spacing w:before="75" w:after="0"/>
      </w:pPr>
      <w:r>
        <w:rPr/>
        <w:t xml:space="preserve">一、  北美市场领导者分析</w:t>
      </w:r>
    </w:p>
    <w:p>
      <w:pPr>
        <w:spacing w:before="75" w:after="0"/>
      </w:pPr>
      <w:r>
        <w:rPr/>
        <w:t xml:space="preserve">二、  欧洲监管特色与发展模式</w:t>
      </w:r>
    </w:p>
    <w:p>
      <w:pPr>
        <w:spacing w:before="75" w:after="0"/>
      </w:pPr>
      <w:r>
        <w:rPr/>
        <w:t xml:space="preserve">三、  亚太地区差异化竞争策略</w:t>
      </w:r>
    </w:p>
    <w:p>
      <w:pPr>
        <w:spacing w:before="75" w:after="0"/>
      </w:pPr>
      <w:r>
        <w:rPr/>
        <w:t xml:space="preserve">第三节  国际巨头战略布局</w:t>
      </w:r>
    </w:p>
    <w:p>
      <w:pPr>
        <w:spacing w:before="75" w:after="0"/>
      </w:pPr>
      <w:r>
        <w:rPr/>
        <w:t xml:space="preserve">一、  google deepmind最新动态</w:t>
      </w:r>
    </w:p>
    <w:p>
      <w:pPr>
        <w:spacing w:before="75" w:after="0"/>
      </w:pPr>
      <w:r>
        <w:rPr/>
        <w:t xml:space="preserve">二、  openai商业模式演变</w:t>
      </w:r>
    </w:p>
    <w:p>
      <w:pPr>
        <w:spacing w:before="75" w:after="0"/>
      </w:pPr>
      <w:r>
        <w:rPr/>
        <w:t xml:space="preserve">三、  微软-openai联盟的产业影响</w:t>
      </w:r>
    </w:p>
    <w:p>
      <w:pPr>
        <w:spacing w:before="75" w:after="0"/>
      </w:pPr>
      <w:r>
        <w:rPr>
          <w:b w:val="1"/>
          <w:bCs w:val="1"/>
        </w:rPr>
        <w:t xml:space="preserve">第四章 中国ai智能体行业发展现状</w:t>
      </w:r>
    </w:p>
    <w:p>
      <w:pPr>
        <w:spacing w:before="75" w:after="0"/>
      </w:pPr>
      <w:r>
        <w:rPr/>
        <w:t xml:space="preserve">第一节  产业规模与结构</w:t>
      </w:r>
    </w:p>
    <w:p>
      <w:pPr>
        <w:spacing w:before="75" w:after="0"/>
      </w:pPr>
      <w:r>
        <w:rPr/>
        <w:t xml:space="preserve">一、  2025年市场规模测算</w:t>
      </w:r>
    </w:p>
    <w:p>
      <w:pPr>
        <w:spacing w:before="75" w:after="0"/>
      </w:pPr>
      <w:r>
        <w:rPr/>
        <w:t xml:space="preserve">二、  硬件/软件/服务占比分析</w:t>
      </w:r>
    </w:p>
    <w:p>
      <w:pPr>
        <w:spacing w:before="75" w:after="0"/>
      </w:pPr>
      <w:r>
        <w:rPr/>
        <w:t xml:space="preserve">第二节  产业链全景图谱</w:t>
      </w:r>
    </w:p>
    <w:p>
      <w:pPr>
        <w:spacing w:before="75" w:after="0"/>
      </w:pPr>
      <w:r>
        <w:rPr/>
        <w:t xml:space="preserve">一、  基础层(芯片/算法/数据)</w:t>
      </w:r>
    </w:p>
    <w:p>
      <w:pPr>
        <w:spacing w:before="75" w:after="0"/>
      </w:pPr>
      <w:r>
        <w:rPr/>
        <w:t xml:space="preserve">二、  技术层(计算机视觉/nlp/机器学习)</w:t>
      </w:r>
    </w:p>
    <w:p>
      <w:pPr>
        <w:spacing w:before="75" w:after="0"/>
      </w:pPr>
      <w:r>
        <w:rPr/>
        <w:t xml:space="preserve">三、  应用层(行业解决方案)</w:t>
      </w:r>
    </w:p>
    <w:p>
      <w:pPr>
        <w:spacing w:before="75" w:after="0"/>
      </w:pPr>
      <w:r>
        <w:rPr/>
        <w:t xml:space="preserve">第三节  区域发展热点</w:t>
      </w:r>
    </w:p>
    <w:p>
      <w:pPr>
        <w:spacing w:before="75" w:after="0"/>
      </w:pPr>
      <w:r>
        <w:rPr/>
        <w:t xml:space="preserve">一、  京津冀ai创新走廊</w:t>
      </w:r>
    </w:p>
    <w:p>
      <w:pPr>
        <w:spacing w:before="75" w:after="0"/>
      </w:pPr>
      <w:r>
        <w:rPr/>
        <w:t xml:space="preserve">二、  长三角ai产业集群</w:t>
      </w:r>
    </w:p>
    <w:p>
      <w:pPr>
        <w:spacing w:before="75" w:after="0"/>
      </w:pPr>
      <w:r>
        <w:rPr/>
        <w:t xml:space="preserve">三、  粤港澳大湾区ai应用试验区</w:t>
      </w:r>
    </w:p>
    <w:p>
      <w:pPr>
        <w:spacing w:before="75" w:after="0"/>
      </w:pPr>
      <w:r>
        <w:rPr>
          <w:b w:val="1"/>
          <w:bCs w:val="1"/>
        </w:rPr>
        <w:t xml:space="preserve">第五章 ai智能体技术发展路线</w:t>
      </w:r>
    </w:p>
    <w:p>
      <w:pPr>
        <w:spacing w:before="75" w:after="0"/>
      </w:pPr>
      <w:r>
        <w:rPr/>
        <w:t xml:space="preserve">第一节  核心技术演进</w:t>
      </w:r>
    </w:p>
    <w:p>
      <w:pPr>
        <w:spacing w:before="75" w:after="0"/>
      </w:pPr>
      <w:r>
        <w:rPr/>
        <w:t xml:space="preserve">一、  大语言模型(llm)发展路径</w:t>
      </w:r>
    </w:p>
    <w:p>
      <w:pPr>
        <w:spacing w:before="75" w:after="0"/>
      </w:pPr>
      <w:r>
        <w:rPr/>
        <w:t xml:space="preserve">二、  多模态融合技术突破</w:t>
      </w:r>
    </w:p>
    <w:p>
      <w:pPr>
        <w:spacing w:before="75" w:after="0"/>
      </w:pPr>
      <w:r>
        <w:rPr/>
        <w:t xml:space="preserve">三、  小样本学习最新进展</w:t>
      </w:r>
    </w:p>
    <w:p>
      <w:pPr>
        <w:spacing w:before="75" w:after="0"/>
      </w:pPr>
      <w:r>
        <w:rPr/>
        <w:t xml:space="preserve">第二节  技术成熟度评估</w:t>
      </w:r>
    </w:p>
    <w:p>
      <w:pPr>
        <w:spacing w:before="75" w:after="0"/>
      </w:pPr>
      <w:r>
        <w:rPr/>
        <w:t xml:space="preserve">一、  gartner技术成熟度曲线定位</w:t>
      </w:r>
    </w:p>
    <w:p>
      <w:pPr>
        <w:spacing w:before="75" w:after="0"/>
      </w:pPr>
      <w:r>
        <w:rPr/>
        <w:t xml:space="preserve">二、  中美关键技术差距比较</w:t>
      </w:r>
    </w:p>
    <w:p>
      <w:pPr>
        <w:spacing w:before="75" w:after="0"/>
      </w:pPr>
      <w:r>
        <w:rPr/>
        <w:t xml:space="preserve">第三节  未来技术趋势</w:t>
      </w:r>
    </w:p>
    <w:p>
      <w:pPr>
        <w:spacing w:before="75" w:after="0"/>
      </w:pPr>
      <w:r>
        <w:rPr/>
        <w:t xml:space="preserve">一、  具身智能(embodied ai)发展前景</w:t>
      </w:r>
    </w:p>
    <w:p>
      <w:pPr>
        <w:spacing w:before="75" w:after="0"/>
      </w:pPr>
      <w:r>
        <w:rPr/>
        <w:t xml:space="preserve">二、  神经符号系统融合方向</w:t>
      </w:r>
    </w:p>
    <w:p>
      <w:pPr>
        <w:spacing w:before="75" w:after="0"/>
      </w:pPr>
      <w:r>
        <w:rPr/>
        <w:t xml:space="preserve">三、  量子计算赋能ai的实践路径</w:t>
      </w:r>
    </w:p>
    <w:p>
      <w:pPr>
        <w:spacing w:before="75" w:after="0"/>
      </w:pPr>
      <w:r>
        <w:rPr>
          <w:b w:val="1"/>
          <w:bCs w:val="1"/>
        </w:rPr>
        <w:t xml:space="preserve">第六章 行业应用场景深度分析</w:t>
      </w:r>
    </w:p>
    <w:p>
      <w:pPr>
        <w:spacing w:before="75" w:after="0"/>
      </w:pPr>
      <w:r>
        <w:rPr/>
        <w:t xml:space="preserve">第一节  金融领域</w:t>
      </w:r>
    </w:p>
    <w:p>
      <w:pPr>
        <w:spacing w:before="75" w:after="0"/>
      </w:pPr>
      <w:r>
        <w:rPr/>
        <w:t xml:space="preserve">一、  智能投顾市场渗透率</w:t>
      </w:r>
    </w:p>
    <w:p>
      <w:pPr>
        <w:spacing w:before="75" w:after="0"/>
      </w:pPr>
      <w:r>
        <w:rPr/>
        <w:t xml:space="preserve">二、  反欺诈系统升级路径</w:t>
      </w:r>
    </w:p>
    <w:p>
      <w:pPr>
        <w:spacing w:before="75" w:after="0"/>
      </w:pPr>
      <w:r>
        <w:rPr/>
        <w:t xml:space="preserve">三、  2025年银行虚拟员工部署计划</w:t>
      </w:r>
    </w:p>
    <w:p>
      <w:pPr>
        <w:spacing w:before="75" w:after="0"/>
      </w:pPr>
      <w:r>
        <w:rPr/>
        <w:t xml:space="preserve">第二节  医疗健康</w:t>
      </w:r>
    </w:p>
    <w:p>
      <w:pPr>
        <w:spacing w:before="75" w:after="0"/>
      </w:pPr>
      <w:r>
        <w:rPr/>
        <w:t xml:space="preserve">一、  诊断辅助系统准确率提升</w:t>
      </w:r>
    </w:p>
    <w:p>
      <w:pPr>
        <w:spacing w:before="75" w:after="0"/>
      </w:pPr>
      <w:r>
        <w:rPr/>
        <w:t xml:space="preserve">二、  药物研发ai应用案例</w:t>
      </w:r>
    </w:p>
    <w:p>
      <w:pPr>
        <w:spacing w:before="75" w:after="0"/>
      </w:pPr>
      <w:r>
        <w:rPr/>
        <w:t xml:space="preserve">三、  医疗机器人商业化进程</w:t>
      </w:r>
    </w:p>
    <w:p>
      <w:pPr>
        <w:spacing w:before="75" w:after="0"/>
      </w:pPr>
      <w:r>
        <w:rPr/>
        <w:t xml:space="preserve">第三节  智能制造</w:t>
      </w:r>
    </w:p>
    <w:p>
      <w:pPr>
        <w:spacing w:before="75" w:after="0"/>
      </w:pPr>
      <w:r>
        <w:rPr/>
        <w:t xml:space="preserve">一、  工业质检ai解决方案</w:t>
      </w:r>
    </w:p>
    <w:p>
      <w:pPr>
        <w:spacing w:before="75" w:after="0"/>
      </w:pPr>
      <w:r>
        <w:rPr/>
        <w:t xml:space="preserve">二、  预测性维护经济效益</w:t>
      </w:r>
    </w:p>
    <w:p>
      <w:pPr>
        <w:spacing w:before="75" w:after="0"/>
      </w:pPr>
      <w:r>
        <w:rPr/>
        <w:t xml:space="preserve">三、  数字孪生工厂实践</w:t>
      </w:r>
    </w:p>
    <w:p>
      <w:pPr>
        <w:spacing w:before="75" w:after="0"/>
      </w:pPr>
      <w:r>
        <w:rPr/>
        <w:t xml:space="preserve">第四节  零售电商</w:t>
      </w:r>
    </w:p>
    <w:p>
      <w:pPr>
        <w:spacing w:before="75" w:after="0"/>
      </w:pPr>
      <w:r>
        <w:rPr/>
        <w:t xml:space="preserve">一、  个性化推荐算法演进</w:t>
      </w:r>
    </w:p>
    <w:p>
      <w:pPr>
        <w:spacing w:before="75" w:after="0"/>
      </w:pPr>
      <w:r>
        <w:rPr/>
        <w:t xml:space="preserve">二、  虚拟购物助手接受度</w:t>
      </w:r>
    </w:p>
    <w:p>
      <w:pPr>
        <w:spacing w:before="75" w:after="0"/>
      </w:pPr>
      <w:r>
        <w:rPr/>
        <w:t xml:space="preserve">三、  元宇宙商店体验优化</w:t>
      </w:r>
    </w:p>
    <w:p>
      <w:pPr>
        <w:spacing w:before="75" w:after="0"/>
      </w:pPr>
      <w:r>
        <w:rPr/>
        <w:t xml:space="preserve">第五节  教育领域</w:t>
      </w:r>
    </w:p>
    <w:p>
      <w:pPr>
        <w:spacing w:before="75" w:after="0"/>
      </w:pPr>
      <w:r>
        <w:rPr/>
        <w:t xml:space="preserve">一、  自适应学习系统效果评估</w:t>
      </w:r>
    </w:p>
    <w:p>
      <w:pPr>
        <w:spacing w:before="75" w:after="0"/>
      </w:pPr>
      <w:r>
        <w:rPr/>
        <w:t xml:space="preserve">二、  ai教师伦理边界探讨</w:t>
      </w:r>
    </w:p>
    <w:p>
      <w:pPr>
        <w:spacing w:before="75" w:after="0"/>
      </w:pPr>
      <w:r>
        <w:rPr/>
        <w:t xml:space="preserve">三、  教育公平促进方案</w:t>
      </w:r>
    </w:p>
    <w:p>
      <w:pPr>
        <w:spacing w:before="75" w:after="0"/>
      </w:pPr>
      <w:r>
        <w:rPr>
          <w:b w:val="1"/>
          <w:bCs w:val="1"/>
        </w:rPr>
        <w:t xml:space="preserve">第七章 竞争格局与企业战略</w:t>
      </w:r>
    </w:p>
    <w:p>
      <w:pPr>
        <w:spacing w:before="75" w:after="0"/>
      </w:pPr>
      <w:r>
        <w:rPr/>
        <w:t xml:space="preserve">第一节  市场参与者分类</w:t>
      </w:r>
    </w:p>
    <w:p>
      <w:pPr>
        <w:spacing w:before="75" w:after="0"/>
      </w:pPr>
      <w:r>
        <w:rPr/>
        <w:t xml:space="preserve">一、  科技巨头生态布局</w:t>
      </w:r>
    </w:p>
    <w:p>
      <w:pPr>
        <w:spacing w:before="75" w:after="0"/>
      </w:pPr>
      <w:r>
        <w:rPr/>
        <w:t xml:space="preserve">二、  垂直领域专业厂商</w:t>
      </w:r>
    </w:p>
    <w:p>
      <w:pPr>
        <w:spacing w:before="75" w:after="0"/>
      </w:pPr>
      <w:r>
        <w:rPr/>
        <w:t xml:space="preserve">三、  初创企业创新方向</w:t>
      </w:r>
    </w:p>
    <w:p>
      <w:pPr>
        <w:spacing w:before="75" w:after="0"/>
      </w:pPr>
      <w:r>
        <w:rPr/>
        <w:t xml:space="preserve">第二节  重点企业深度剖析</w:t>
      </w:r>
    </w:p>
    <w:p>
      <w:pPr>
        <w:spacing w:before="75" w:after="0"/>
      </w:pPr>
      <w:r>
        <w:rPr/>
        <w:t xml:space="preserve">一、  百度文心大模型商业路径</w:t>
      </w:r>
    </w:p>
    <w:p>
      <w:pPr>
        <w:spacing w:before="75" w:after="0"/>
      </w:pPr>
      <w:r>
        <w:rPr/>
        <w:t xml:space="preserve">二、  阿里巴巴通义千问应用场景</w:t>
      </w:r>
    </w:p>
    <w:p>
      <w:pPr>
        <w:spacing w:before="75" w:after="0"/>
      </w:pPr>
      <w:r>
        <w:rPr/>
        <w:t xml:space="preserve">三、  华为盘古大模型行业落地</w:t>
      </w:r>
    </w:p>
    <w:p>
      <w:pPr>
        <w:spacing w:before="75" w:after="0"/>
      </w:pPr>
      <w:r>
        <w:rPr/>
        <w:t xml:space="preserve">第三节  战略合作与并购动态</w:t>
      </w:r>
    </w:p>
    <w:p>
      <w:pPr>
        <w:spacing w:before="75" w:after="0"/>
      </w:pPr>
      <w:r>
        <w:rPr/>
        <w:t xml:space="preserve">一、  2024-2025年重大并购案</w:t>
      </w:r>
    </w:p>
    <w:p>
      <w:pPr>
        <w:spacing w:before="75" w:after="0"/>
      </w:pPr>
      <w:r>
        <w:rPr/>
        <w:t xml:space="preserve">二、  产学研合作模式创新</w:t>
      </w:r>
    </w:p>
    <w:p>
      <w:pPr>
        <w:spacing w:before="75" w:after="0"/>
      </w:pPr>
      <w:r>
        <w:rPr/>
        <w:t xml:space="preserve">三、  开源社区竞争态势</w:t>
      </w:r>
    </w:p>
    <w:p>
      <w:pPr>
        <w:spacing w:before="75" w:after="0"/>
      </w:pPr>
      <w:r>
        <w:rPr>
          <w:b w:val="1"/>
          <w:bCs w:val="1"/>
        </w:rPr>
        <w:t xml:space="preserve">第八章 商业模式创新分析</w:t>
      </w:r>
    </w:p>
    <w:p>
      <w:pPr>
        <w:spacing w:before="75" w:after="0"/>
      </w:pPr>
      <w:r>
        <w:rPr/>
        <w:t xml:space="preserve">第一节  盈利模式演变</w:t>
      </w:r>
    </w:p>
    <w:p>
      <w:pPr>
        <w:spacing w:before="75" w:after="0"/>
      </w:pPr>
      <w:r>
        <w:rPr/>
        <w:t xml:space="preserve">一、  api调用收费模式</w:t>
      </w:r>
    </w:p>
    <w:p>
      <w:pPr>
        <w:spacing w:before="75" w:after="0"/>
      </w:pPr>
      <w:r>
        <w:rPr/>
        <w:t xml:space="preserve">二、  订阅制服务接受度</w:t>
      </w:r>
    </w:p>
    <w:p>
      <w:pPr>
        <w:spacing w:before="75" w:after="0"/>
      </w:pPr>
      <w:r>
        <w:rPr/>
        <w:t xml:space="preserve">三、  效果付费可行性</w:t>
      </w:r>
    </w:p>
    <w:p>
      <w:pPr>
        <w:spacing w:before="75" w:after="0"/>
      </w:pPr>
      <w:r>
        <w:rPr/>
        <w:t xml:space="preserve">第二节  平台化战略</w:t>
      </w:r>
    </w:p>
    <w:p>
      <w:pPr>
        <w:spacing w:before="75" w:after="0"/>
      </w:pPr>
      <w:r>
        <w:rPr/>
        <w:t xml:space="preserve">一、  ai应用商店生态构建</w:t>
      </w:r>
    </w:p>
    <w:p>
      <w:pPr>
        <w:spacing w:before="75" w:after="0"/>
      </w:pPr>
      <w:r>
        <w:rPr/>
        <w:t xml:space="preserve">二、  开发者激励计划比较</w:t>
      </w:r>
    </w:p>
    <w:p>
      <w:pPr>
        <w:spacing w:before="75" w:after="0"/>
      </w:pPr>
      <w:r>
        <w:rPr/>
        <w:t xml:space="preserve">三、  第三方插件市场发展</w:t>
      </w:r>
    </w:p>
    <w:p>
      <w:pPr>
        <w:spacing w:before="75" w:after="0"/>
      </w:pPr>
      <w:r>
        <w:rPr/>
        <w:t xml:space="preserve">第三节  跨界融合案例</w:t>
      </w:r>
    </w:p>
    <w:p>
      <w:pPr>
        <w:spacing w:before="75" w:after="0"/>
      </w:pPr>
      <w:r>
        <w:rPr/>
        <w:t xml:space="preserve">一、  ai+物联网商业模式</w:t>
      </w:r>
    </w:p>
    <w:p>
      <w:pPr>
        <w:spacing w:before="75" w:after="0"/>
      </w:pPr>
      <w:r>
        <w:rPr/>
        <w:t xml:space="preserve">二、  ai与区块链结合场景</w:t>
      </w:r>
    </w:p>
    <w:p>
      <w:pPr>
        <w:spacing w:before="75" w:after="0"/>
      </w:pPr>
      <w:r>
        <w:rPr/>
        <w:t xml:space="preserve">三、  虚实融合商业实验</w:t>
      </w:r>
    </w:p>
    <w:p>
      <w:pPr>
        <w:spacing w:before="75" w:after="0"/>
      </w:pPr>
      <w:r>
        <w:rPr>
          <w:b w:val="1"/>
          <w:bCs w:val="1"/>
        </w:rPr>
        <w:t xml:space="preserve">第九章 投资热点与融资趋势</w:t>
      </w:r>
    </w:p>
    <w:p>
      <w:pPr>
        <w:spacing w:before="75" w:after="0"/>
      </w:pPr>
      <w:r>
        <w:rPr/>
        <w:t xml:space="preserve">第一节  投融资数据分析</w:t>
      </w:r>
    </w:p>
    <w:p>
      <w:pPr>
        <w:spacing w:before="75" w:after="0"/>
      </w:pPr>
      <w:r>
        <w:rPr/>
        <w:t xml:space="preserve">一、  2021-2026年投资金额统计</w:t>
      </w:r>
    </w:p>
    <w:p>
      <w:pPr>
        <w:spacing w:before="75" w:after="0"/>
      </w:pPr>
      <w:r>
        <w:rPr/>
        <w:t xml:space="preserve">二、  各轮次投资占比变化</w:t>
      </w:r>
    </w:p>
    <w:p>
      <w:pPr>
        <w:spacing w:before="75" w:after="0"/>
      </w:pPr>
      <w:r>
        <w:rPr/>
        <w:t xml:space="preserve">三、  退出渠道与ipo前景</w:t>
      </w:r>
    </w:p>
    <w:p>
      <w:pPr>
        <w:spacing w:before="75" w:after="0"/>
      </w:pPr>
      <w:r>
        <w:rPr/>
        <w:t xml:space="preserve">第二节  资本关注焦点</w:t>
      </w:r>
    </w:p>
    <w:p>
      <w:pPr>
        <w:spacing w:before="75" w:after="0"/>
      </w:pPr>
      <w:r>
        <w:rPr/>
        <w:t xml:space="preserve">一、  基础模型投资降温现象</w:t>
      </w:r>
    </w:p>
    <w:p>
      <w:pPr>
        <w:spacing w:before="75" w:after="0"/>
      </w:pPr>
      <w:r>
        <w:rPr/>
        <w:t xml:space="preserve">二、  行业应用层新宠领域</w:t>
      </w:r>
    </w:p>
    <w:p>
      <w:pPr>
        <w:spacing w:before="75" w:after="0"/>
      </w:pPr>
      <w:r>
        <w:rPr/>
        <w:t xml:space="preserve">三、  硬件加速器投资热潮</w:t>
      </w:r>
    </w:p>
    <w:p>
      <w:pPr>
        <w:spacing w:before="75" w:after="0"/>
      </w:pPr>
      <w:r>
        <w:rPr/>
        <w:t xml:space="preserve">第三节  政府引导基金效果</w:t>
      </w:r>
    </w:p>
    <w:p>
      <w:pPr>
        <w:spacing w:before="75" w:after="0"/>
      </w:pPr>
      <w:r>
        <w:rPr/>
        <w:t xml:space="preserve">一、  国家级ai基金运作评估</w:t>
      </w:r>
    </w:p>
    <w:p>
      <w:pPr>
        <w:spacing w:before="75" w:after="0"/>
      </w:pPr>
      <w:r>
        <w:rPr/>
        <w:t xml:space="preserve">二、  地方专项支持政策比较</w:t>
      </w:r>
    </w:p>
    <w:p>
      <w:pPr>
        <w:spacing w:before="75" w:after="0"/>
      </w:pPr>
      <w:r>
        <w:rPr/>
        <w:t xml:space="preserve">三、  国有资本参与方式创新</w:t>
      </w:r>
    </w:p>
    <w:p>
      <w:pPr>
        <w:spacing w:before="75" w:after="0"/>
      </w:pPr>
      <w:r>
        <w:rPr>
          <w:b w:val="1"/>
          <w:bCs w:val="1"/>
        </w:rPr>
        <w:t xml:space="preserve">第十章 人才供需与教育体系</w:t>
      </w:r>
    </w:p>
    <w:p>
      <w:pPr>
        <w:spacing w:before="75" w:after="0"/>
      </w:pPr>
      <w:r>
        <w:rPr/>
        <w:t xml:space="preserve">第一节  人才缺口分析</w:t>
      </w:r>
    </w:p>
    <w:p>
      <w:pPr>
        <w:spacing w:before="75" w:after="0"/>
      </w:pPr>
      <w:r>
        <w:rPr/>
        <w:t xml:space="preserve">一、  各岗位类型需求差异</w:t>
      </w:r>
    </w:p>
    <w:p>
      <w:pPr>
        <w:spacing w:before="75" w:after="0"/>
      </w:pPr>
      <w:r>
        <w:rPr/>
        <w:t xml:space="preserve">二、  地域分布不均衡问题</w:t>
      </w:r>
    </w:p>
    <w:p>
      <w:pPr>
        <w:spacing w:before="75" w:after="0"/>
      </w:pPr>
      <w:r>
        <w:rPr/>
        <w:t xml:space="preserve">三、  复合型人才稀缺性</w:t>
      </w:r>
    </w:p>
    <w:p>
      <w:pPr>
        <w:spacing w:before="75" w:after="0"/>
      </w:pPr>
      <w:r>
        <w:rPr/>
        <w:t xml:space="preserve">第二节  薪酬水平调查</w:t>
      </w:r>
    </w:p>
    <w:p>
      <w:pPr>
        <w:spacing w:before="75" w:after="0"/>
      </w:pPr>
      <w:r>
        <w:rPr/>
        <w:t xml:space="preserve">一、  算法工程师薪资曲线</w:t>
      </w:r>
    </w:p>
    <w:p>
      <w:pPr>
        <w:spacing w:before="75" w:after="0"/>
      </w:pPr>
      <w:r>
        <w:rPr/>
        <w:t xml:space="preserve">二、  2025年应届生起薪基准</w:t>
      </w:r>
    </w:p>
    <w:p>
      <w:pPr>
        <w:spacing w:before="75" w:after="0"/>
      </w:pPr>
      <w:r>
        <w:rPr/>
        <w:t xml:space="preserve">三、  股权激励实践案例</w:t>
      </w:r>
    </w:p>
    <w:p>
      <w:pPr>
        <w:spacing w:before="75" w:after="0"/>
      </w:pPr>
      <w:r>
        <w:rPr/>
        <w:t xml:space="preserve">第三节  培养体系构建</w:t>
      </w:r>
    </w:p>
    <w:p>
      <w:pPr>
        <w:spacing w:before="75" w:after="0"/>
      </w:pPr>
      <w:r>
        <w:rPr/>
        <w:t xml:space="preserve">一、  高校专业设置调整</w:t>
      </w:r>
    </w:p>
    <w:p>
      <w:pPr>
        <w:spacing w:before="75" w:after="0"/>
      </w:pPr>
      <w:r>
        <w:rPr/>
        <w:t xml:space="preserve">二、  企业大学培养模式</w:t>
      </w:r>
    </w:p>
    <w:p>
      <w:pPr>
        <w:spacing w:before="75" w:after="0"/>
      </w:pPr>
      <w:r>
        <w:rPr/>
        <w:t xml:space="preserve">三、  在线教育平台贡献</w:t>
      </w:r>
    </w:p>
    <w:p>
      <w:pPr>
        <w:spacing w:before="75" w:after="0"/>
      </w:pPr>
      <w:r>
        <w:rPr>
          <w:b w:val="1"/>
          <w:bCs w:val="1"/>
        </w:rPr>
        <w:t xml:space="preserve">第十一章 风险挑战与应对策略</w:t>
      </w:r>
    </w:p>
    <w:p>
      <w:pPr>
        <w:spacing w:before="75" w:after="0"/>
      </w:pPr>
      <w:r>
        <w:rPr/>
        <w:t xml:space="preserve">第一节  技术风险</w:t>
      </w:r>
    </w:p>
    <w:p>
      <w:pPr>
        <w:spacing w:before="75" w:after="0"/>
      </w:pPr>
      <w:r>
        <w:rPr/>
        <w:t xml:space="preserve">一、  算法偏见消除方案</w:t>
      </w:r>
    </w:p>
    <w:p>
      <w:pPr>
        <w:spacing w:before="75" w:after="0"/>
      </w:pPr>
      <w:r>
        <w:rPr/>
        <w:t xml:space="preserve">二、  系统安全性强化措施</w:t>
      </w:r>
    </w:p>
    <w:p>
      <w:pPr>
        <w:spacing w:before="75" w:after="0"/>
      </w:pPr>
      <w:r>
        <w:rPr/>
        <w:t xml:space="preserve">三、  可解释性研究进展</w:t>
      </w:r>
    </w:p>
    <w:p>
      <w:pPr>
        <w:spacing w:before="75" w:after="0"/>
      </w:pPr>
      <w:r>
        <w:rPr/>
        <w:t xml:space="preserve">第二节  商业风险</w:t>
      </w:r>
    </w:p>
    <w:p>
      <w:pPr>
        <w:spacing w:before="75" w:after="0"/>
      </w:pPr>
      <w:r>
        <w:rPr/>
        <w:t xml:space="preserve">一、  同质化竞争破局</w:t>
      </w:r>
    </w:p>
    <w:p>
      <w:pPr>
        <w:spacing w:before="75" w:after="0"/>
      </w:pPr>
      <w:r>
        <w:rPr/>
        <w:t xml:space="preserve">二、  客户预期管理</w:t>
      </w:r>
    </w:p>
    <w:p>
      <w:pPr>
        <w:spacing w:before="75" w:after="0"/>
      </w:pPr>
      <w:r>
        <w:rPr/>
        <w:t xml:space="preserve">三、  现金流压力缓解</w:t>
      </w:r>
    </w:p>
    <w:p>
      <w:pPr>
        <w:spacing w:before="75" w:after="0"/>
      </w:pPr>
      <w:r>
        <w:rPr/>
        <w:t xml:space="preserve">第三节  法律风险</w:t>
      </w:r>
    </w:p>
    <w:p>
      <w:pPr>
        <w:spacing w:before="75" w:after="0"/>
      </w:pPr>
      <w:r>
        <w:rPr/>
        <w:t xml:space="preserve">一、  数据合规解决方案</w:t>
      </w:r>
    </w:p>
    <w:p>
      <w:pPr>
        <w:spacing w:before="75" w:after="0"/>
      </w:pPr>
      <w:r>
        <w:rPr/>
        <w:t xml:space="preserve">二、  知识产权保护策略</w:t>
      </w:r>
    </w:p>
    <w:p>
      <w:pPr>
        <w:spacing w:before="75" w:after="0"/>
      </w:pPr>
      <w:r>
        <w:rPr/>
        <w:t xml:space="preserve">三、  跨境监管协调</w:t>
      </w:r>
    </w:p>
    <w:p>
      <w:pPr>
        <w:spacing w:before="75" w:after="0"/>
      </w:pPr>
      <w:r>
        <w:rPr>
          <w:b w:val="1"/>
          <w:bCs w:val="1"/>
        </w:rPr>
        <w:t xml:space="preserve">第十二章 政策建议与发展路径</w:t>
      </w:r>
    </w:p>
    <w:p>
      <w:pPr>
        <w:spacing w:before="75" w:after="0"/>
      </w:pPr>
      <w:r>
        <w:rPr/>
        <w:t xml:space="preserve">第一节  政府层面</w:t>
      </w:r>
    </w:p>
    <w:p>
      <w:pPr>
        <w:spacing w:before="75" w:after="0"/>
      </w:pPr>
      <w:r>
        <w:rPr/>
        <w:t xml:space="preserve">一、  算力基础设施规划</w:t>
      </w:r>
    </w:p>
    <w:p>
      <w:pPr>
        <w:spacing w:before="75" w:after="0"/>
      </w:pPr>
      <w:r>
        <w:rPr/>
        <w:t xml:space="preserve">二、  数据要素市场培育</w:t>
      </w:r>
    </w:p>
    <w:p>
      <w:pPr>
        <w:spacing w:before="75" w:after="0"/>
      </w:pPr>
      <w:r>
        <w:rPr/>
        <w:t xml:space="preserve">三、  创新沙盒机制优化</w:t>
      </w:r>
    </w:p>
    <w:p>
      <w:pPr>
        <w:spacing w:before="75" w:after="0"/>
      </w:pPr>
      <w:r>
        <w:rPr/>
        <w:t xml:space="preserve">第二节  企业层面</w:t>
      </w:r>
    </w:p>
    <w:p>
      <w:pPr>
        <w:spacing w:before="75" w:after="0"/>
      </w:pPr>
      <w:r>
        <w:rPr/>
        <w:t xml:space="preserve">一、  核心技术突破路径</w:t>
      </w:r>
    </w:p>
    <w:p>
      <w:pPr>
        <w:spacing w:before="75" w:after="0"/>
      </w:pPr>
      <w:r>
        <w:rPr/>
        <w:t xml:space="preserve">二、  商业化落地节奏</w:t>
      </w:r>
    </w:p>
    <w:p>
      <w:pPr>
        <w:spacing w:before="75" w:after="0"/>
      </w:pPr>
      <w:r>
        <w:rPr/>
        <w:t xml:space="preserve">三、  全球化战略选择</w:t>
      </w:r>
    </w:p>
    <w:p>
      <w:pPr>
        <w:spacing w:before="75" w:after="0"/>
      </w:pPr>
      <w:r>
        <w:rPr/>
        <w:t xml:space="preserve">第三节  社会层面</w:t>
      </w:r>
    </w:p>
    <w:p>
      <w:pPr>
        <w:spacing w:before="75" w:after="0"/>
      </w:pPr>
      <w:r>
        <w:rPr/>
        <w:t xml:space="preserve">一、  公众认知提升计划</w:t>
      </w:r>
    </w:p>
    <w:p>
      <w:pPr>
        <w:spacing w:before="75" w:after="0"/>
      </w:pPr>
      <w:r>
        <w:rPr/>
        <w:t xml:space="preserve">二、  伦理委员会运作机制</w:t>
      </w:r>
    </w:p>
    <w:p>
      <w:pPr>
        <w:spacing w:before="75" w:after="0"/>
      </w:pPr>
      <w:r>
        <w:rPr/>
        <w:t xml:space="preserve">三、  失业风险应对方案</w:t>
      </w:r>
    </w:p>
    <w:p>
      <w:pPr>
        <w:spacing w:before="75" w:after="0"/>
      </w:pPr>
      <w:r>
        <w:rPr>
          <w:b w:val="1"/>
          <w:bCs w:val="1"/>
        </w:rPr>
        <w:t xml:space="preserve">第十三章 未来五年发展预测</w:t>
      </w:r>
    </w:p>
    <w:p>
      <w:pPr>
        <w:spacing w:before="75" w:after="0"/>
      </w:pPr>
      <w:r>
        <w:rPr/>
        <w:t xml:space="preserve">第一节  市场规模预测</w:t>
      </w:r>
    </w:p>
    <w:p>
      <w:pPr>
        <w:spacing w:before="75" w:after="0"/>
      </w:pPr>
      <w:r>
        <w:rPr/>
        <w:t xml:space="preserve">一、  乐观/中性/保守情景</w:t>
      </w:r>
    </w:p>
    <w:p>
      <w:pPr>
        <w:spacing w:before="75" w:after="0"/>
      </w:pPr>
      <w:r>
        <w:rPr/>
        <w:t xml:space="preserve">二、  细分领域增长差异</w:t>
      </w:r>
    </w:p>
    <w:p>
      <w:pPr>
        <w:spacing w:before="75" w:after="0"/>
      </w:pPr>
      <w:r>
        <w:rPr/>
        <w:t xml:space="preserve">第二节  技术突破预期</w:t>
      </w:r>
    </w:p>
    <w:p>
      <w:pPr>
        <w:spacing w:before="75" w:after="0"/>
      </w:pPr>
      <w:r>
        <w:rPr/>
        <w:t xml:space="preserve">一、  通用ai可行性评估</w:t>
      </w:r>
    </w:p>
    <w:p>
      <w:pPr>
        <w:spacing w:before="75" w:after="0"/>
      </w:pPr>
      <w:r>
        <w:rPr/>
        <w:t xml:space="preserve">二、  脑机接口融合前景</w:t>
      </w:r>
    </w:p>
    <w:p>
      <w:pPr>
        <w:spacing w:before="75" w:after="0"/>
      </w:pPr>
      <w:r>
        <w:rPr/>
        <w:t xml:space="preserve">三、  能源效率突破点</w:t>
      </w:r>
    </w:p>
    <w:p>
      <w:pPr>
        <w:spacing w:before="75" w:after="0"/>
      </w:pPr>
      <w:r>
        <w:rPr/>
        <w:t xml:space="preserve">第三节  社会影响前瞻</w:t>
      </w:r>
    </w:p>
    <w:p>
      <w:pPr>
        <w:spacing w:before="75" w:after="0"/>
      </w:pPr>
      <w:r>
        <w:rPr/>
        <w:t xml:space="preserve">一、  就业结构变革程度</w:t>
      </w:r>
    </w:p>
    <w:p>
      <w:pPr>
        <w:spacing w:before="75" w:after="0"/>
      </w:pPr>
      <w:r>
        <w:rPr/>
        <w:t xml:space="preserve">二、  人机协作新范式</w:t>
      </w:r>
    </w:p>
    <w:p>
      <w:pPr>
        <w:spacing w:before="75" w:after="0"/>
      </w:pPr>
      <w:r>
        <w:rPr/>
        <w:t xml:space="preserve">三、  社会治理新模式</w:t>
      </w:r>
    </w:p>
    <w:p>
      <w:pPr>
        <w:spacing w:before="75" w:after="0"/>
      </w:pPr>
      <w:r>
        <w:rPr>
          <w:b w:val="1"/>
          <w:bCs w:val="1"/>
        </w:rPr>
        <w:t xml:space="preserve">第十四章 重点企业案例分析</w:t>
      </w:r>
    </w:p>
    <w:p>
      <w:pPr>
        <w:spacing w:before="75" w:after="0"/>
      </w:pPr>
      <w:r>
        <w:rPr/>
        <w:t xml:space="preserve">第一节  国际案例</w:t>
      </w:r>
    </w:p>
    <w:p>
      <w:pPr>
        <w:spacing w:before="75" w:after="0"/>
      </w:pPr>
      <w:r>
        <w:rPr/>
        <w:t xml:space="preserve">一、  anthropic安全ai实践</w:t>
      </w:r>
    </w:p>
    <w:p>
      <w:pPr>
        <w:spacing w:before="75" w:after="0"/>
      </w:pPr>
      <w:r>
        <w:rPr/>
        <w:t xml:space="preserve">二、  inflection ai个性化助手</w:t>
      </w:r>
    </w:p>
    <w:p>
      <w:pPr>
        <w:spacing w:before="75" w:after="0"/>
      </w:pPr>
      <w:r>
        <w:rPr/>
        <w:t xml:space="preserve">三、  特斯拉optimus进化路线</w:t>
      </w:r>
    </w:p>
    <w:p>
      <w:pPr>
        <w:spacing w:before="75" w:after="0"/>
      </w:pPr>
      <w:r>
        <w:rPr/>
        <w:t xml:space="preserve">第二节  国内案例</w:t>
      </w:r>
    </w:p>
    <w:p>
      <w:pPr>
        <w:spacing w:before="75" w:after="0"/>
      </w:pPr>
      <w:r>
        <w:rPr/>
        <w:t xml:space="preserve">一、  商汤科技转型路径</w:t>
      </w:r>
    </w:p>
    <w:p>
      <w:pPr>
        <w:spacing w:before="75" w:after="0"/>
      </w:pPr>
      <w:r>
        <w:rPr/>
        <w:t xml:space="preserve">二、  科大讯飞教育深耕</w:t>
      </w:r>
    </w:p>
    <w:p>
      <w:pPr>
        <w:spacing w:before="75" w:after="0"/>
      </w:pPr>
      <w:r>
        <w:rPr/>
        <w:t xml:space="preserve">三、  字节跳动ai布局</w:t>
      </w:r>
    </w:p>
    <w:p>
      <w:pPr>
        <w:spacing w:before="75" w:after="0"/>
      </w:pPr>
      <w:r>
        <w:rPr>
          <w:b w:val="1"/>
          <w:bCs w:val="1"/>
        </w:rPr>
        <w:t xml:space="preserve">第十五章 专题研究：生成式ai影响</w:t>
      </w:r>
    </w:p>
    <w:p>
      <w:pPr>
        <w:spacing w:before="75" w:after="0"/>
      </w:pPr>
      <w:r>
        <w:rPr/>
        <w:t xml:space="preserve">第一节  内容创作革命</w:t>
      </w:r>
    </w:p>
    <w:p>
      <w:pPr>
        <w:spacing w:before="75" w:after="0"/>
      </w:pPr>
      <w:r>
        <w:rPr/>
        <w:t xml:space="preserve">一、  aigc市场规模测算</w:t>
      </w:r>
    </w:p>
    <w:p>
      <w:pPr>
        <w:spacing w:before="75" w:after="0"/>
      </w:pPr>
      <w:r>
        <w:rPr/>
        <w:t xml:space="preserve">二、  版权归属争议分析</w:t>
      </w:r>
    </w:p>
    <w:p>
      <w:pPr>
        <w:spacing w:before="75" w:after="0"/>
      </w:pPr>
      <w:r>
        <w:rPr/>
        <w:t xml:space="preserve">三、  媒体行业重塑</w:t>
      </w:r>
    </w:p>
    <w:p>
      <w:pPr>
        <w:spacing w:before="75" w:after="0"/>
      </w:pPr>
      <w:r>
        <w:rPr/>
        <w:t xml:space="preserve">第二节  生产力提升评估</w:t>
      </w:r>
    </w:p>
    <w:p>
      <w:pPr>
        <w:spacing w:before="75" w:after="0"/>
      </w:pPr>
      <w:r>
        <w:rPr/>
        <w:t xml:space="preserve">一、  白领工作效率变化</w:t>
      </w:r>
    </w:p>
    <w:p>
      <w:pPr>
        <w:spacing w:before="75" w:after="0"/>
      </w:pPr>
      <w:r>
        <w:rPr/>
        <w:t xml:space="preserve">二、  创意工作辅助效果</w:t>
      </w:r>
    </w:p>
    <w:p>
      <w:pPr>
        <w:spacing w:before="75" w:after="0"/>
      </w:pPr>
      <w:r>
        <w:rPr/>
        <w:t xml:space="preserve">三、  知识管理升级</w:t>
      </w:r>
    </w:p>
    <w:p>
      <w:pPr>
        <w:spacing w:before="75" w:after="0"/>
      </w:pPr>
      <w:r>
        <w:rPr/>
        <w:t xml:space="preserve">第三节  社会文化影响</w:t>
      </w:r>
    </w:p>
    <w:p>
      <w:pPr>
        <w:spacing w:before="75" w:after="0"/>
      </w:pPr>
      <w:r>
        <w:rPr/>
        <w:t xml:space="preserve">一、  信息真实性挑战</w:t>
      </w:r>
    </w:p>
    <w:p>
      <w:pPr>
        <w:spacing w:before="75" w:after="0"/>
      </w:pPr>
      <w:r>
        <w:rPr/>
        <w:t xml:space="preserve">二、  艺术创作边界</w:t>
      </w:r>
    </w:p>
    <w:p>
      <w:pPr>
        <w:spacing w:before="75" w:after="0"/>
      </w:pPr>
      <w:r>
        <w:rPr/>
        <w:t xml:space="preserve">三、  教育方式变革</w:t>
      </w:r>
    </w:p>
    <w:p>
      <w:pPr>
        <w:spacing w:before="75" w:after="0"/>
      </w:pPr>
      <w:r>
        <w:rPr>
          <w:b w:val="1"/>
          <w:bCs w:val="1"/>
        </w:rPr>
        <w:t xml:space="preserve">第十六章 专题研究：ai伦理与治理</w:t>
      </w:r>
    </w:p>
    <w:p>
      <w:pPr>
        <w:spacing w:before="75" w:after="0"/>
      </w:pPr>
      <w:r>
        <w:rPr/>
        <w:t xml:space="preserve">第一节  伦理框架比较</w:t>
      </w:r>
    </w:p>
    <w:p>
      <w:pPr>
        <w:spacing w:before="75" w:after="0"/>
      </w:pPr>
      <w:r>
        <w:rPr/>
        <w:t xml:space="preserve">一、  欧盟ai法案借鉴</w:t>
      </w:r>
    </w:p>
    <w:p>
      <w:pPr>
        <w:spacing w:before="75" w:after="0"/>
      </w:pPr>
      <w:r>
        <w:rPr/>
        <w:t xml:space="preserve">二、  中国特色治理方案</w:t>
      </w:r>
    </w:p>
    <w:p>
      <w:pPr>
        <w:spacing w:before="75" w:after="0"/>
      </w:pPr>
      <w:r>
        <w:rPr/>
        <w:t xml:space="preserve">三、  企业自律公约</w:t>
      </w:r>
    </w:p>
    <w:p>
      <w:pPr>
        <w:spacing w:before="75" w:after="0"/>
      </w:pPr>
      <w:r>
        <w:rPr/>
        <w:t xml:space="preserve">第二节  治理实践案例</w:t>
      </w:r>
    </w:p>
    <w:p>
      <w:pPr>
        <w:spacing w:before="75" w:after="0"/>
      </w:pPr>
      <w:r>
        <w:rPr/>
        <w:t xml:space="preserve">一、  内容审核机制</w:t>
      </w:r>
    </w:p>
    <w:p>
      <w:pPr>
        <w:spacing w:before="75" w:after="0"/>
      </w:pPr>
      <w:r>
        <w:rPr/>
        <w:t xml:space="preserve">二、  算法备案制度</w:t>
      </w:r>
    </w:p>
    <w:p>
      <w:pPr>
        <w:spacing w:before="75" w:after="0"/>
      </w:pPr>
      <w:r>
        <w:rPr/>
        <w:t xml:space="preserve">三、  第三方评估</w:t>
      </w:r>
    </w:p>
    <w:p>
      <w:pPr>
        <w:spacing w:before="75" w:after="0"/>
      </w:pPr>
      <w:r>
        <w:rPr/>
        <w:t xml:space="preserve">第三节  可持续发展路径</w:t>
      </w:r>
    </w:p>
    <w:p>
      <w:pPr>
        <w:spacing w:before="75" w:after="0"/>
      </w:pPr>
      <w:r>
        <w:rPr/>
        <w:t xml:space="preserve">一、  环境友好型ai</w:t>
      </w:r>
    </w:p>
    <w:p>
      <w:pPr>
        <w:spacing w:before="75" w:after="0"/>
      </w:pPr>
      <w:r>
        <w:rPr/>
        <w:t xml:space="preserve">二、  包容性设计原则</w:t>
      </w:r>
    </w:p>
    <w:p>
      <w:pPr>
        <w:spacing w:before="75" w:after="0"/>
      </w:pPr>
      <w:r>
        <w:rPr/>
        <w:t xml:space="preserve">三、  长期主义价值观</w:t>
      </w:r>
    </w:p>
    <w:p>
      <w:pPr>
        <w:spacing w:before="75" w:after="0"/>
      </w:pPr>
      <w:r>
        <w:rPr>
          <w:b w:val="1"/>
          <w:bCs w:val="1"/>
        </w:rPr>
        <w:t xml:space="preserve">第十七章 专题研究：ai硬件创新</w:t>
      </w:r>
    </w:p>
    <w:p>
      <w:pPr>
        <w:spacing w:before="75" w:after="0"/>
      </w:pPr>
      <w:r>
        <w:rPr/>
        <w:t xml:space="preserve">第一节  芯片发展路线</w:t>
      </w:r>
    </w:p>
    <w:p>
      <w:pPr>
        <w:spacing w:before="75" w:after="0"/>
      </w:pPr>
      <w:r>
        <w:rPr/>
        <w:t xml:space="preserve">一、  国产替代进程</w:t>
      </w:r>
    </w:p>
    <w:p>
      <w:pPr>
        <w:spacing w:before="75" w:after="0"/>
      </w:pPr>
      <w:r>
        <w:rPr/>
        <w:t xml:space="preserve">二、  存算一体突破</w:t>
      </w:r>
    </w:p>
    <w:p>
      <w:pPr>
        <w:spacing w:before="75" w:after="0"/>
      </w:pPr>
      <w:r>
        <w:rPr/>
        <w:t xml:space="preserve">三、  光电融合趋势</w:t>
      </w:r>
    </w:p>
    <w:p>
      <w:pPr>
        <w:spacing w:before="75" w:after="0"/>
      </w:pPr>
      <w:r>
        <w:rPr/>
        <w:t xml:space="preserve">第二节  传感器升级</w:t>
      </w:r>
    </w:p>
    <w:p>
      <w:pPr>
        <w:spacing w:before="75" w:after="0"/>
      </w:pPr>
      <w:r>
        <w:rPr/>
        <w:t xml:space="preserve">一、  多模态感知</w:t>
      </w:r>
    </w:p>
    <w:p>
      <w:pPr>
        <w:spacing w:before="75" w:after="0"/>
      </w:pPr>
      <w:r>
        <w:rPr/>
        <w:t xml:space="preserve">二、  边缘智能</w:t>
      </w:r>
    </w:p>
    <w:p>
      <w:pPr>
        <w:spacing w:before="75" w:after="0"/>
      </w:pPr>
      <w:r>
        <w:rPr/>
        <w:t xml:space="preserve">三、  生物兼容</w:t>
      </w:r>
    </w:p>
    <w:p>
      <w:pPr>
        <w:spacing w:before="75" w:after="0"/>
      </w:pPr>
      <w:r>
        <w:rPr/>
        <w:t xml:space="preserve">第三节  机器人载体</w:t>
      </w:r>
    </w:p>
    <w:p>
      <w:pPr>
        <w:spacing w:before="75" w:after="0"/>
      </w:pPr>
      <w:r>
        <w:rPr/>
        <w:t xml:space="preserve">一、  人形机器人</w:t>
      </w:r>
    </w:p>
    <w:p>
      <w:pPr>
        <w:spacing w:before="75" w:after="0"/>
      </w:pPr>
      <w:r>
        <w:rPr/>
        <w:t xml:space="preserve">二、  微型机器人</w:t>
      </w:r>
    </w:p>
    <w:p>
      <w:pPr>
        <w:spacing w:before="75" w:after="0"/>
      </w:pPr>
      <w:r>
        <w:rPr/>
        <w:t xml:space="preserve">三、  群体智能</w:t>
      </w:r>
    </w:p>
    <w:p>
      <w:pPr>
        <w:spacing w:before="75" w:after="0"/>
      </w:pPr>
      <w:r>
        <w:rPr>
          <w:b w:val="1"/>
          <w:bCs w:val="1"/>
        </w:rPr>
        <w:t xml:space="preserve">第十八章 区域发展专项研究</w:t>
      </w:r>
    </w:p>
    <w:p>
      <w:pPr>
        <w:spacing w:before="75" w:after="0"/>
      </w:pPr>
      <w:r>
        <w:rPr/>
        <w:t xml:space="preserve">第一节  北京ai高地建设</w:t>
      </w:r>
    </w:p>
    <w:p>
      <w:pPr>
        <w:spacing w:before="75" w:after="0"/>
      </w:pPr>
      <w:r>
        <w:rPr/>
        <w:t xml:space="preserve">一、  中关村模式</w:t>
      </w:r>
    </w:p>
    <w:p>
      <w:pPr>
        <w:spacing w:before="75" w:after="0"/>
      </w:pPr>
      <w:r>
        <w:rPr/>
        <w:t xml:space="preserve">二、  国家实验室</w:t>
      </w:r>
    </w:p>
    <w:p>
      <w:pPr>
        <w:spacing w:before="75" w:after="0"/>
      </w:pPr>
      <w:r>
        <w:rPr/>
        <w:t xml:space="preserve">三、  人才集聚</w:t>
      </w:r>
    </w:p>
    <w:p>
      <w:pPr>
        <w:spacing w:before="75" w:after="0"/>
      </w:pPr>
      <w:r>
        <w:rPr/>
        <w:t xml:space="preserve">第二节  上海应用创新</w:t>
      </w:r>
    </w:p>
    <w:p>
      <w:pPr>
        <w:spacing w:before="75" w:after="0"/>
      </w:pPr>
      <w:r>
        <w:rPr/>
        <w:t xml:space="preserve">一、  世界ai大会</w:t>
      </w:r>
    </w:p>
    <w:p>
      <w:pPr>
        <w:spacing w:before="75" w:after="0"/>
      </w:pPr>
      <w:r>
        <w:rPr/>
        <w:t xml:space="preserve">二、  金融科技</w:t>
      </w:r>
    </w:p>
    <w:p>
      <w:pPr>
        <w:spacing w:before="75" w:after="0"/>
      </w:pPr>
      <w:r>
        <w:rPr/>
        <w:t xml:space="preserve">三、  智能制造</w:t>
      </w:r>
    </w:p>
    <w:p>
      <w:pPr>
        <w:spacing w:before="75" w:after="0"/>
      </w:pPr>
      <w:r>
        <w:rPr/>
        <w:t xml:space="preserve">第三节  深圳硬件优势</w:t>
      </w:r>
    </w:p>
    <w:p>
      <w:pPr>
        <w:spacing w:before="75" w:after="0"/>
      </w:pPr>
      <w:r>
        <w:rPr/>
        <w:t xml:space="preserve">一、  华为生态</w:t>
      </w:r>
    </w:p>
    <w:p>
      <w:pPr>
        <w:spacing w:before="75" w:after="0"/>
      </w:pPr>
      <w:r>
        <w:rPr/>
        <w:t xml:space="preserve">二、  无人机之都</w:t>
      </w:r>
    </w:p>
    <w:p>
      <w:pPr>
        <w:spacing w:before="75" w:after="0"/>
      </w:pPr>
      <w:r>
        <w:rPr/>
        <w:t xml:space="preserve">三、  跨境数据</w:t>
      </w:r>
    </w:p>
    <w:p>
      <w:pPr>
        <w:spacing w:before="75" w:after="0"/>
      </w:pPr>
      <w:r>
        <w:rPr>
          <w:b w:val="1"/>
          <w:bCs w:val="1"/>
        </w:rPr>
        <w:t xml:space="preserve">第十九章 国际经验借鉴</w:t>
      </w:r>
    </w:p>
    <w:p>
      <w:pPr>
        <w:spacing w:before="75" w:after="0"/>
      </w:pPr>
      <w:r>
        <w:rPr/>
        <w:t xml:space="preserve">第一节  美国创新体系</w:t>
      </w:r>
    </w:p>
    <w:p>
      <w:pPr>
        <w:spacing w:before="75" w:after="0"/>
      </w:pPr>
      <w:r>
        <w:rPr/>
        <w:t xml:space="preserve">一、  darpa模式</w:t>
      </w:r>
    </w:p>
    <w:p>
      <w:pPr>
        <w:spacing w:before="75" w:after="0"/>
      </w:pPr>
      <w:r>
        <w:rPr/>
        <w:t xml:space="preserve">二、  大学转化</w:t>
      </w:r>
    </w:p>
    <w:p>
      <w:pPr>
        <w:spacing w:before="75" w:after="0"/>
      </w:pPr>
      <w:r>
        <w:rPr/>
        <w:t xml:space="preserve">三、  风险投资</w:t>
      </w:r>
    </w:p>
    <w:p>
      <w:pPr>
        <w:spacing w:before="75" w:after="0"/>
      </w:pPr>
      <w:r>
        <w:rPr/>
        <w:t xml:space="preserve">第二节  欧洲监管平衡</w:t>
      </w:r>
    </w:p>
    <w:p>
      <w:pPr>
        <w:spacing w:before="75" w:after="0"/>
      </w:pPr>
      <w:r>
        <w:rPr/>
        <w:t xml:space="preserve">一、  gdpr经验</w:t>
      </w:r>
    </w:p>
    <w:p>
      <w:pPr>
        <w:spacing w:before="75" w:after="0"/>
      </w:pPr>
      <w:r>
        <w:rPr/>
        <w:t xml:space="preserve">二、  工业4.0</w:t>
      </w:r>
    </w:p>
    <w:p>
      <w:pPr>
        <w:spacing w:before="75" w:after="0"/>
      </w:pPr>
      <w:r>
        <w:rPr/>
        <w:t xml:space="preserve">三、  中小企业</w:t>
      </w:r>
    </w:p>
    <w:p>
      <w:pPr>
        <w:spacing w:before="75" w:after="0"/>
      </w:pPr>
      <w:r>
        <w:rPr/>
        <w:t xml:space="preserve">第三节  日韩特色路径</w:t>
      </w:r>
    </w:p>
    <w:p>
      <w:pPr>
        <w:spacing w:before="75" w:after="0"/>
      </w:pPr>
      <w:r>
        <w:rPr/>
        <w:t xml:space="preserve">一、  机器人战略</w:t>
      </w:r>
    </w:p>
    <w:p>
      <w:pPr>
        <w:spacing w:before="75" w:after="0"/>
      </w:pPr>
      <w:r>
        <w:rPr/>
        <w:t xml:space="preserve">二、  老龄化应对</w:t>
      </w:r>
    </w:p>
    <w:p>
      <w:pPr>
        <w:spacing w:before="75" w:after="0"/>
      </w:pPr>
      <w:r>
        <w:rPr/>
        <w:t xml:space="preserve">三、  文化输出</w:t>
      </w:r>
    </w:p>
    <w:p>
      <w:pPr>
        <w:spacing w:before="75" w:after="0"/>
      </w:pPr>
      <w:r>
        <w:rPr>
          <w:b w:val="1"/>
          <w:bCs w:val="1"/>
        </w:rPr>
        <w:t xml:space="preserve">第二十章 结论与建议</w:t>
      </w:r>
    </w:p>
    <w:p>
      <w:pPr>
        <w:spacing w:before="75" w:after="0"/>
      </w:pPr>
      <w:r>
        <w:rPr/>
        <w:t xml:space="preserve">第一节  关键发现总结</w:t>
      </w:r>
    </w:p>
    <w:p>
      <w:pPr>
        <w:spacing w:before="75" w:after="0"/>
      </w:pPr>
      <w:r>
        <w:rPr/>
        <w:t xml:space="preserve">第二节  战略机遇窗口</w:t>
      </w:r>
    </w:p>
    <w:p>
      <w:pPr>
        <w:spacing w:before="75" w:after="0"/>
      </w:pPr>
      <w:r>
        <w:rPr/>
        <w:t xml:space="preserve">第三节  行动路线图</w:t>
      </w:r>
    </w:p>
    <w:p>
      <w:pPr>
        <w:spacing w:before="75" w:after="0"/>
      </w:pPr>
      <w:r>
        <w:rPr>
          <w:b w:val="1"/>
          <w:bCs w:val="1"/>
        </w:rPr>
        <w:t xml:space="preserve">图表目录</w:t>
      </w:r>
    </w:p>
    <w:p>
      <w:pPr>
        <w:spacing w:before="75" w:after="0"/>
      </w:pPr>
      <w:r>
        <w:rPr/>
        <w:t xml:space="preserve">图表：研究框架示意图</w:t>
      </w:r>
    </w:p>
    <w:p>
      <w:pPr>
        <w:spacing w:before="75" w:after="0"/>
      </w:pPr>
      <w:r>
        <w:rPr/>
        <w:t xml:space="preserve">图表：中国ai相关政策时间轴(2021-2026年)</w:t>
      </w:r>
    </w:p>
    <w:p>
      <w:pPr>
        <w:spacing w:before="75" w:after="0"/>
      </w:pPr>
      <w:r>
        <w:rPr/>
        <w:t xml:space="preserve">图表：全球ai智能体市场规模预测(2026-2031年)</w:t>
      </w:r>
    </w:p>
    <w:p>
      <w:pPr>
        <w:spacing w:before="75" w:after="0"/>
      </w:pPr>
      <w:r>
        <w:rPr/>
        <w:t xml:space="preserve">图表：中国ai产业链价值分布</w:t>
      </w:r>
    </w:p>
    <w:p>
      <w:pPr>
        <w:spacing w:before="75" w:after="0"/>
      </w:pPr>
      <w:r>
        <w:rPr/>
        <w:t xml:space="preserve">图表：大语言模型参数增长曲线</w:t>
      </w:r>
    </w:p>
    <w:p>
      <w:pPr>
        <w:spacing w:before="75" w:after="0"/>
      </w:pPr>
      <w:r>
        <w:rPr/>
        <w:t xml:space="preserve">图表：各行业ai渗透率对比</w:t>
      </w:r>
    </w:p>
    <w:p>
      <w:pPr>
        <w:spacing w:before="75" w:after="0"/>
      </w:pPr>
      <w:r>
        <w:rPr/>
        <w:t xml:space="preserve">图表：主要企业市场份额</w:t>
      </w:r>
    </w:p>
    <w:p>
      <w:pPr>
        <w:spacing w:before="75" w:after="0"/>
      </w:pPr>
      <w:r>
        <w:rPr/>
        <w:t xml:space="preserve">图表：商业模式创新矩阵</w:t>
      </w:r>
    </w:p>
    <w:p>
      <w:pPr>
        <w:spacing w:before="75" w:after="0"/>
      </w:pPr>
      <w:r>
        <w:rPr/>
        <w:t xml:space="preserve">图表：投融资轮次分布</w:t>
      </w:r>
    </w:p>
    <w:p>
      <w:pPr>
        <w:spacing w:before="75" w:after="0"/>
      </w:pPr>
      <w:r>
        <w:rPr/>
        <w:t xml:space="preserve">图表：ai人才供需缺口</w:t>
      </w:r>
    </w:p>
    <w:p>
      <w:pPr>
        <w:spacing w:before="75" w:after="0"/>
      </w:pPr>
      <w:r>
        <w:rPr/>
        <w:t xml:space="preserve">图表：风险因素权重评估</w:t>
      </w:r>
    </w:p>
    <w:p>
      <w:pPr>
        <w:spacing w:before="75" w:after="0"/>
      </w:pPr>
      <w:r>
        <w:rPr/>
        <w:t xml:space="preserve">图表：政策工具包</w:t>
      </w:r>
    </w:p>
    <w:p>
      <w:pPr>
        <w:spacing w:before="75" w:after="0"/>
      </w:pPr>
      <w:r>
        <w:rPr/>
        <w:t xml:space="preserve">图表：三种情景预测</w:t>
      </w:r>
    </w:p>
    <w:p>
      <w:pPr>
        <w:spacing w:before="75" w:after="0"/>
      </w:pPr>
      <w:r>
        <w:rPr/>
        <w:t xml:space="preserve">图表：企业竞争力雷达图</w:t>
      </w:r>
    </w:p>
    <w:p>
      <w:pPr>
        <w:spacing w:before="75" w:after="0"/>
      </w:pPr>
      <w:r>
        <w:rPr/>
        <w:t xml:space="preserve">图表：aigc内容类型占比</w:t>
      </w:r>
    </w:p>
    <w:p>
      <w:pPr>
        <w:spacing w:before="75" w:after="0"/>
      </w:pPr>
      <w:r>
        <w:rPr/>
        <w:t xml:space="preserve">图表：伦理治理框架</w:t>
      </w:r>
    </w:p>
    <w:p>
      <w:pPr>
        <w:spacing w:before="75" w:after="0"/>
      </w:pPr>
      <w:r>
        <w:rPr/>
        <w:t xml:space="preserve">图表：ai芯片性能对比</w:t>
      </w:r>
    </w:p>
    <w:p>
      <w:pPr>
        <w:spacing w:before="75" w:after="0"/>
      </w:pPr>
      <w:r>
        <w:rPr/>
        <w:t xml:space="preserve">图表：区域发展指数</w:t>
      </w:r>
    </w:p>
    <w:p>
      <w:pPr>
        <w:spacing w:before="75" w:after="0"/>
      </w:pPr>
      <w:r>
        <w:rPr/>
        <w:t xml:space="preserve">图表：国际比较分析</w:t>
      </w:r>
    </w:p>
    <w:p>
      <w:pPr>
        <w:spacing w:before="75" w:after="0"/>
      </w:pPr>
      <w:r>
        <w:rPr/>
        <w:t xml:space="preserve">图表：各省市ai专项政策比较</w:t>
      </w:r>
    </w:p>
    <w:p>
      <w:pPr>
        <w:spacing w:before="75" w:after="0"/>
      </w:pPr>
      <w:r>
        <w:rPr/>
        <w:t xml:space="preserve">图表：国际巨头研发投入</w:t>
      </w:r>
    </w:p>
    <w:p>
      <w:pPr>
        <w:spacing w:before="75" w:after="0"/>
      </w:pPr>
      <w:r>
        <w:rPr/>
        <w:t xml:space="preserve">图表：重点园区扶持政策</w:t>
      </w:r>
    </w:p>
    <w:p>
      <w:pPr>
        <w:spacing w:before="75" w:after="0"/>
      </w:pPr>
      <w:r>
        <w:rPr/>
        <w:t xml:space="preserve">图表：技术成熟度评估</w:t>
      </w:r>
    </w:p>
    <w:p>
      <w:pPr>
        <w:spacing w:before="75" w:after="0"/>
      </w:pPr>
      <w:r>
        <w:rPr/>
        <w:t xml:space="preserve">图表：行业应用roi分析</w:t>
      </w:r>
    </w:p>
    <w:p>
      <w:pPr>
        <w:spacing w:before="75" w:after="0"/>
      </w:pPr>
      <w:r>
        <w:rPr/>
        <w:t xml:space="preserve">图表：战略合作矩阵</w:t>
      </w:r>
    </w:p>
    <w:p>
      <w:pPr>
        <w:spacing w:before="75" w:after="0"/>
      </w:pPr>
      <w:r>
        <w:rPr/>
        <w:t xml:space="preserve">图表：盈利模式对比</w:t>
      </w:r>
    </w:p>
    <w:p>
      <w:pPr>
        <w:spacing w:before="75" w:after="0"/>
      </w:pPr>
      <w:r>
        <w:rPr/>
        <w:t xml:space="preserve">图表：独角兽企业估值</w:t>
      </w:r>
    </w:p>
    <w:p>
      <w:pPr>
        <w:spacing w:before="75" w:after="0"/>
      </w:pPr>
      <w:r>
        <w:rPr/>
        <w:t xml:space="preserve">图表：岗位薪资水平</w:t>
      </w:r>
    </w:p>
    <w:p>
      <w:pPr>
        <w:spacing w:before="75" w:after="0"/>
      </w:pPr>
      <w:r>
        <w:rPr/>
        <w:t xml:space="preserve">图表：风险应对方案</w:t>
      </w:r>
    </w:p>
    <w:p>
      <w:pPr>
        <w:spacing w:before="75" w:after="0"/>
      </w:pPr>
      <w:r>
        <w:rPr/>
        <w:t xml:space="preserve">图表：政策建议清单</w:t>
      </w:r>
    </w:p>
    <w:p>
      <w:pPr>
        <w:spacing w:before="75" w:after="0"/>
      </w:pPr>
      <w:r>
        <w:rPr/>
        <w:t xml:space="preserve">图表：关键技术里程碑</w:t>
      </w:r>
    </w:p>
    <w:p>
      <w:pPr>
        <w:spacing w:before="75" w:after="0"/>
      </w:pPr>
      <w:r>
        <w:rPr/>
        <w:t xml:space="preserve">图表：案例企业关键指标</w:t>
      </w:r>
    </w:p>
    <w:p>
      <w:pPr>
        <w:spacing w:before="75" w:after="0"/>
      </w:pPr>
      <w:r>
        <w:rPr/>
        <w:t xml:space="preserve">图表：生成式ai应用场景</w:t>
      </w:r>
    </w:p>
    <w:p>
      <w:pPr>
        <w:spacing w:before="75" w:after="0"/>
      </w:pPr>
      <w:r>
        <w:rPr/>
        <w:t xml:space="preserve">图表：伦理准则对比</w:t>
      </w:r>
    </w:p>
    <w:p>
      <w:pPr>
        <w:spacing w:before="75" w:after="0"/>
      </w:pPr>
      <w:r>
        <w:rPr/>
        <w:t xml:space="preserve">图表：硬件性能参数</w:t>
      </w:r>
    </w:p>
    <w:p>
      <w:pPr>
        <w:spacing w:before="75" w:after="0"/>
      </w:pPr>
      <w:r>
        <w:rPr/>
        <w:t xml:space="preserve">图表：区域竞争力评价</w:t>
      </w:r>
    </w:p>
    <w:p>
      <w:pPr>
        <w:spacing w:before="75" w:after="0"/>
      </w:pPr>
      <w:r>
        <w:rPr/>
        <w:t xml:space="preserve">图表：国际经验总结</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本文地址：https://www.51baogao.cn/baogao/20250729/2983756.shtml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29/298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中国AI智能体行业市场深度调研及商业模式与发展预测研究报告(2026-2031版)</dc:title>
  <dc:description>中国AI智能体行业市场深度调研及商业模式与发展预测研究报告(2026-2031版)</dc:description>
  <dc:subject>中国AI智能体行业市场深度调研及商业模式与发展预测研究报告(2026-2031版)</dc:subject>
  <cp:keywords>研究报告</cp:keywords>
  <cp:category>研究报告</cp:category>
  <cp:lastModifiedBy>北京中道泰和信息咨询有限公司</cp:lastModifiedBy>
  <dcterms:created xsi:type="dcterms:W3CDTF">2026-04-08T17:55:37+08:00</dcterms:created>
  <dcterms:modified xsi:type="dcterms:W3CDTF">2026-04-08T17:55:37+08:00</dcterms:modified>
</cp:coreProperties>
</file>

<file path=docProps/custom.xml><?xml version="1.0" encoding="utf-8"?>
<Properties xmlns="http://schemas.openxmlformats.org/officeDocument/2006/custom-properties" xmlns:vt="http://schemas.openxmlformats.org/officeDocument/2006/docPropsVTypes"/>
</file>