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中国基金销售行业市场发展分析及规模预测与战略建议研究报告(2026-2031版)</w:t>
      </w:r>
    </w:p>
    <w:p>
      <w:pPr>
        <w:spacing w:after="150"/>
      </w:pPr>
      <w:r>
        <w:rPr>
          <w:b w:val="1"/>
          <w:bCs w:val="1"/>
        </w:rPr>
        <w:t xml:space="preserve">报告简介</w:t>
      </w:r>
    </w:p>
    <w:p>
      <w:pPr>
        <w:spacing w:after="150"/>
      </w:pPr>
      <w:r>
        <w:rPr/>
        <w:t xml:space="preserve">基金销售作为金融市场的重要组成部分，近年来在中国得到了快速发展。随着金融市场的不断开放和投资者教育的逐步深入，基金销售行业正经历着从传统销售模式向多元化、智能化转型的关键时期。基金销售不仅涉及为投资者提供基金产品的购买渠道，还包括专业的投资咨询、风险评估和售后服务，是连接基金管理人和投资者的重要桥梁。</w:t>
      </w:r>
    </w:p>
    <w:p>
      <w:pPr>
        <w:spacing w:after="150"/>
      </w:pPr>
      <w:r>
        <w:rPr/>
        <w:t xml:space="preserve">当前，中国基金销售行业正处于快速发展的阶段。一方面，随着中国进一步扩大金融业对外开放，外资机构纷纷布局中国市场，带来了新的理念和技术。例如，青岛意才基金销售有限公司成为我国第一家获得基金销售牌照的外资银行子公司，这标志着中国基金销售市场的国际化进程正在加速。另一方面，随着国内投资者对基金投资的认知度和接受度不断提高，基金销售机构的数量和规模也在不断扩大。同时，监管机构不断完善相关法律法规，规范基金销售行为，保护投资者权益。未来，基金销售行业将朝着更加智能化、多元化和国际化方向发展。在技术层面，基金销售机构将通过大数据分析、人工智能等技术手段，为投资者提供更加个性化、精准化的投资建议和服务。在市场格局方面，随着市场竞争的加剧，基金销售机构将更加注重品牌建设和差异化竞争，大型机构将通过技术创新和资源整合提升竞争力，而中小机构则需要通过特色化服务寻找市场定位。此外，随着中国资本市场的进一步开放，基金销售机构将有更多机会拓展海外市场，提升国际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金销售行业研究单位等公布和提供的大量资料。报告对我国基金销售行业的供需状况、发展现状、子行业发展变化等进行了分析，重点分析了国内外基金销售行业的发展现状、如何面对行业的发展挑战、行业的发展建议、行业竞争力，以及行业的投资分析和趋势预测等等。报告还综合了基金销售行业的整体发展动态，对行业在产品方面提供了参考建议和具体解决办法。报告对于基金销售产品生产企业、经销商、行业管理部门以及拟进入该行业的投资者具有重要的参考价值，对于研究我国基金销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研究背景与方法论</w:t>
      </w:r>
    </w:p>
    <w:p>
      <w:pPr>
        <w:spacing w:before="75" w:after="0"/>
      </w:pPr>
      <w:r>
        <w:rPr/>
        <w:t xml:space="preserve">第一节 研究背景与意义</w:t>
      </w:r>
    </w:p>
    <w:p>
      <w:pPr>
        <w:spacing w:before="75" w:after="0"/>
      </w:pPr>
      <w:r>
        <w:rPr/>
        <w:t xml:space="preserve">一、中国财富管理市场快速发展背景</w:t>
      </w:r>
    </w:p>
    <w:p>
      <w:pPr>
        <w:spacing w:before="75" w:after="0"/>
      </w:pPr>
      <w:r>
        <w:rPr/>
        <w:t xml:space="preserve">(一)居民财富增长与资产配置需求变化</w:t>
      </w:r>
    </w:p>
    <w:p>
      <w:pPr>
        <w:spacing w:before="75" w:after="0"/>
      </w:pPr>
      <w:r>
        <w:rPr/>
        <w:t xml:space="preserve">(二)资管新规后行业规范化发展</w:t>
      </w:r>
    </w:p>
    <w:p>
      <w:pPr>
        <w:spacing w:before="75" w:after="0"/>
      </w:pPr>
      <w:r>
        <w:rPr/>
        <w:t xml:space="preserve">(三)金融科技赋能基金销售创新</w:t>
      </w:r>
    </w:p>
    <w:p>
      <w:pPr>
        <w:spacing w:before="75" w:after="0"/>
      </w:pPr>
      <w:r>
        <w:rPr/>
        <w:t xml:space="preserve">二、研究价值与目标</w:t>
      </w:r>
    </w:p>
    <w:p>
      <w:pPr>
        <w:spacing w:before="75" w:after="0"/>
      </w:pPr>
      <w:r>
        <w:rPr/>
        <w:t xml:space="preserve">(一)为行业参与者提供决策参考</w:t>
      </w:r>
    </w:p>
    <w:p>
      <w:pPr>
        <w:spacing w:before="75" w:after="0"/>
      </w:pPr>
      <w:r>
        <w:rPr/>
        <w:t xml:space="preserve">(二)揭示未来五年发展趋势</w:t>
      </w:r>
    </w:p>
    <w:p>
      <w:pPr>
        <w:spacing w:before="75" w:after="0"/>
      </w:pPr>
      <w:r>
        <w:rPr/>
        <w:t xml:space="preserve">(三)识别潜在风险与机遇</w:t>
      </w:r>
    </w:p>
    <w:p>
      <w:pPr>
        <w:spacing w:before="75" w:after="0"/>
      </w:pPr>
      <w:r>
        <w:rPr/>
        <w:t xml:space="preserve">第二节 研究方法与数据来源</w:t>
      </w:r>
    </w:p>
    <w:p>
      <w:pPr>
        <w:spacing w:before="75" w:after="0"/>
      </w:pPr>
      <w:r>
        <w:rPr/>
        <w:t xml:space="preserve">一、定量分析方法</w:t>
      </w:r>
    </w:p>
    <w:p>
      <w:pPr>
        <w:spacing w:before="75" w:after="0"/>
      </w:pPr>
      <w:r>
        <w:rPr/>
        <w:t xml:space="preserve">(一)市场规模测算模型</w:t>
      </w:r>
    </w:p>
    <w:p>
      <w:pPr>
        <w:spacing w:before="75" w:after="0"/>
      </w:pPr>
      <w:r>
        <w:rPr/>
        <w:t xml:space="preserve">(二)消费者行为统计分析</w:t>
      </w:r>
    </w:p>
    <w:p>
      <w:pPr>
        <w:spacing w:before="75" w:after="0"/>
      </w:pPr>
      <w:r>
        <w:rPr/>
        <w:t xml:space="preserve">(三)竞争格局评估体系</w:t>
      </w:r>
    </w:p>
    <w:p>
      <w:pPr>
        <w:spacing w:before="75" w:after="0"/>
      </w:pPr>
      <w:r>
        <w:rPr/>
        <w:t xml:space="preserve">二、定性分析方法</w:t>
      </w:r>
    </w:p>
    <w:p>
      <w:pPr>
        <w:spacing w:before="75" w:after="0"/>
      </w:pPr>
      <w:r>
        <w:rPr/>
        <w:t xml:space="preserve">(一)专家访谈与德尔菲法</w:t>
      </w:r>
    </w:p>
    <w:p>
      <w:pPr>
        <w:spacing w:before="75" w:after="0"/>
      </w:pPr>
      <w:r>
        <w:rPr/>
        <w:t xml:space="preserve">(二)政策文本分析</w:t>
      </w:r>
    </w:p>
    <w:p>
      <w:pPr>
        <w:spacing w:before="75" w:after="0"/>
      </w:pPr>
      <w:r>
        <w:rPr/>
        <w:t xml:space="preserve">(三)典型案例研究</w:t>
      </w:r>
    </w:p>
    <w:p>
      <w:pPr>
        <w:spacing w:before="75" w:after="0"/>
      </w:pPr>
      <w:r>
        <w:rPr/>
        <w:t xml:space="preserve">三、数据来源说明</w:t>
      </w:r>
    </w:p>
    <w:p>
      <w:pPr>
        <w:spacing w:before="75" w:after="0"/>
      </w:pPr>
      <w:r>
        <w:rPr/>
        <w:t xml:space="preserve">(一)官方统计数据</w:t>
      </w:r>
    </w:p>
    <w:p>
      <w:pPr>
        <w:spacing w:before="75" w:after="0"/>
      </w:pPr>
      <w:r>
        <w:rPr/>
        <w:t xml:space="preserve">(二)行业协会资料</w:t>
      </w:r>
    </w:p>
    <w:p>
      <w:pPr>
        <w:spacing w:before="75" w:after="0"/>
      </w:pPr>
      <w:r>
        <w:rPr/>
        <w:t xml:space="preserve">(三)企业年报与招股书</w:t>
      </w:r>
    </w:p>
    <w:p>
      <w:pPr>
        <w:spacing w:before="75" w:after="0"/>
      </w:pPr>
      <w:r>
        <w:rPr>
          <w:b w:val="1"/>
          <w:bCs w:val="1"/>
        </w:rPr>
        <w:t xml:space="preserve">第二章 全球基金销售行业发展经验借鉴</w:t>
      </w:r>
    </w:p>
    <w:p>
      <w:pPr>
        <w:spacing w:before="75" w:after="0"/>
      </w:pPr>
      <w:r>
        <w:rPr/>
        <w:t xml:space="preserve">第一节 美国市场发展模式</w:t>
      </w:r>
    </w:p>
    <w:p>
      <w:pPr>
        <w:spacing w:before="75" w:after="0"/>
      </w:pPr>
      <w:r>
        <w:rPr/>
        <w:t xml:space="preserve">一、渠道结构与市场份额</w:t>
      </w:r>
    </w:p>
    <w:p>
      <w:pPr>
        <w:spacing w:before="75" w:after="0"/>
      </w:pPr>
      <w:r>
        <w:rPr/>
        <w:t xml:space="preserve">二、智能投顾创新实践</w:t>
      </w:r>
    </w:p>
    <w:p>
      <w:pPr>
        <w:spacing w:before="75" w:after="0"/>
      </w:pPr>
      <w:r>
        <w:rPr/>
        <w:t xml:space="preserve">三、监管体系与投资者保护</w:t>
      </w:r>
    </w:p>
    <w:p>
      <w:pPr>
        <w:spacing w:before="75" w:after="0"/>
      </w:pPr>
      <w:r>
        <w:rPr/>
        <w:t xml:space="preserve">第二节 欧洲市场特点分析</w:t>
      </w:r>
    </w:p>
    <w:p>
      <w:pPr>
        <w:spacing w:before="75" w:after="0"/>
      </w:pPr>
      <w:r>
        <w:rPr/>
        <w:t xml:space="preserve">一、ucits框架下的跨境销售</w:t>
      </w:r>
    </w:p>
    <w:p>
      <w:pPr>
        <w:spacing w:before="75" w:after="0"/>
      </w:pPr>
      <w:r>
        <w:rPr/>
        <w:t xml:space="preserve">二、esg投资产品销售趋势</w:t>
      </w:r>
    </w:p>
    <w:p>
      <w:pPr>
        <w:spacing w:before="75" w:after="0"/>
      </w:pPr>
      <w:r>
        <w:rPr/>
        <w:t xml:space="preserve">三、私人银行主导模式</w:t>
      </w:r>
    </w:p>
    <w:p>
      <w:pPr>
        <w:spacing w:before="75" w:after="0"/>
      </w:pPr>
      <w:r>
        <w:rPr/>
        <w:t xml:space="preserve">第三节 亚洲新兴市场启示</w:t>
      </w:r>
    </w:p>
    <w:p>
      <w:pPr>
        <w:spacing w:before="75" w:after="0"/>
      </w:pPr>
      <w:r>
        <w:rPr/>
        <w:t xml:space="preserve">一、香港基金互认机制</w:t>
      </w:r>
    </w:p>
    <w:p>
      <w:pPr>
        <w:spacing w:before="75" w:after="0"/>
      </w:pPr>
      <w:r>
        <w:rPr/>
        <w:t xml:space="preserve">二、新加坡数字平台发展</w:t>
      </w:r>
    </w:p>
    <w:p>
      <w:pPr>
        <w:spacing w:before="75" w:after="0"/>
      </w:pPr>
      <w:r>
        <w:rPr/>
        <w:t xml:space="preserve">三、日本养老投资产品演变</w:t>
      </w:r>
    </w:p>
    <w:p>
      <w:pPr>
        <w:spacing w:before="75" w:after="0"/>
      </w:pPr>
      <w:r>
        <w:rPr>
          <w:b w:val="1"/>
          <w:bCs w:val="1"/>
        </w:rPr>
        <w:t xml:space="preserve">第三章 中国基金销售行业发展环境分析</w:t>
      </w:r>
    </w:p>
    <w:p>
      <w:pPr>
        <w:spacing w:before="75" w:after="0"/>
      </w:pPr>
      <w:r>
        <w:rPr/>
        <w:t xml:space="preserve">第一节 政策与监管环境</w:t>
      </w:r>
    </w:p>
    <w:p>
      <w:pPr>
        <w:spacing w:before="75" w:after="0"/>
      </w:pPr>
      <w:r>
        <w:rPr/>
        <w:t xml:space="preserve">一、资管新规实施细则影响</w:t>
      </w:r>
    </w:p>
    <w:p>
      <w:pPr>
        <w:spacing w:before="75" w:after="0"/>
      </w:pPr>
      <w:r>
        <w:rPr/>
        <w:t xml:space="preserve">(一)销售适当性管理强化</w:t>
      </w:r>
    </w:p>
    <w:p>
      <w:pPr>
        <w:spacing w:before="75" w:after="0"/>
      </w:pPr>
      <w:r>
        <w:rPr/>
        <w:t xml:space="preserve">(二)产品净值化转型要求</w:t>
      </w:r>
    </w:p>
    <w:p>
      <w:pPr>
        <w:spacing w:before="75" w:after="0"/>
      </w:pPr>
      <w:r>
        <w:rPr/>
        <w:t xml:space="preserve">(三)渠道合规成本变化</w:t>
      </w:r>
    </w:p>
    <w:p>
      <w:pPr>
        <w:spacing w:before="75" w:after="0"/>
      </w:pPr>
      <w:r>
        <w:rPr/>
        <w:t xml:space="preserve">二、基金投顾试点扩围分析</w:t>
      </w:r>
    </w:p>
    <w:p>
      <w:pPr>
        <w:spacing w:before="75" w:after="0"/>
      </w:pPr>
      <w:r>
        <w:rPr/>
        <w:t xml:space="preserve">三、个人养老金账户制度进展</w:t>
      </w:r>
    </w:p>
    <w:p>
      <w:pPr>
        <w:spacing w:before="75" w:after="0"/>
      </w:pPr>
      <w:r>
        <w:rPr/>
        <w:t xml:space="preserve">第二节 经济与金融环境</w:t>
      </w:r>
    </w:p>
    <w:p>
      <w:pPr>
        <w:spacing w:before="75" w:after="0"/>
      </w:pPr>
      <w:r>
        <w:rPr/>
        <w:t xml:space="preserve">一、gdp增速与居民收入预测</w:t>
      </w:r>
    </w:p>
    <w:p>
      <w:pPr>
        <w:spacing w:before="75" w:after="0"/>
      </w:pPr>
      <w:r>
        <w:rPr/>
        <w:t xml:space="preserve">二、利率市场化改革影响</w:t>
      </w:r>
    </w:p>
    <w:p>
      <w:pPr>
        <w:spacing w:before="75" w:after="0"/>
      </w:pPr>
      <w:r>
        <w:rPr/>
        <w:t xml:space="preserve">三、资本市场开放进程</w:t>
      </w:r>
    </w:p>
    <w:p>
      <w:pPr>
        <w:spacing w:before="75" w:after="0"/>
      </w:pPr>
      <w:r>
        <w:rPr/>
        <w:t xml:space="preserve">第三节 社会与技术环境</w:t>
      </w:r>
    </w:p>
    <w:p>
      <w:pPr>
        <w:spacing w:before="75" w:after="0"/>
      </w:pPr>
      <w:r>
        <w:rPr/>
        <w:t xml:space="preserve">一、投资者结构年轻化趋势</w:t>
      </w:r>
    </w:p>
    <w:p>
      <w:pPr>
        <w:spacing w:before="75" w:after="0"/>
      </w:pPr>
      <w:r>
        <w:rPr/>
        <w:t xml:space="preserve">二、金融科技应用场景深化</w:t>
      </w:r>
    </w:p>
    <w:p>
      <w:pPr>
        <w:spacing w:before="75" w:after="0"/>
      </w:pPr>
      <w:r>
        <w:rPr/>
        <w:t xml:space="preserve">三、信息安全与隐私保护要求</w:t>
      </w:r>
    </w:p>
    <w:p>
      <w:pPr>
        <w:spacing w:before="75" w:after="0"/>
      </w:pPr>
      <w:r>
        <w:rPr>
          <w:b w:val="1"/>
          <w:bCs w:val="1"/>
        </w:rPr>
        <w:t xml:space="preserve">第四章 2021-2026年行业回顾与现状分析</w:t>
      </w:r>
    </w:p>
    <w:p>
      <w:pPr>
        <w:spacing w:before="75" w:after="0"/>
      </w:pPr>
      <w:r>
        <w:rPr/>
        <w:t xml:space="preserve">第一节 市场规模与增长轨迹</w:t>
      </w:r>
    </w:p>
    <w:p>
      <w:pPr>
        <w:spacing w:before="75" w:after="0"/>
      </w:pPr>
      <w:r>
        <w:rPr/>
        <w:t xml:space="preserve">一、公募基金销售总量变化</w:t>
      </w:r>
    </w:p>
    <w:p>
      <w:pPr>
        <w:spacing w:before="75" w:after="0"/>
      </w:pPr>
      <w:r>
        <w:rPr/>
        <w:t xml:space="preserve">二、各类产品结构演变</w:t>
      </w:r>
    </w:p>
    <w:p>
      <w:pPr>
        <w:spacing w:before="75" w:after="0"/>
      </w:pPr>
      <w:r>
        <w:rPr/>
        <w:t xml:space="preserve">三、渠道份额动态调整</w:t>
      </w:r>
    </w:p>
    <w:p>
      <w:pPr>
        <w:spacing w:before="75" w:after="0"/>
      </w:pPr>
      <w:r>
        <w:rPr/>
        <w:t xml:space="preserve">第二节 主要参与主体分析</w:t>
      </w:r>
    </w:p>
    <w:p>
      <w:pPr>
        <w:spacing w:before="75" w:after="0"/>
      </w:pPr>
      <w:r>
        <w:rPr/>
        <w:t xml:space="preserve">一、商业银行渠道优劣势</w:t>
      </w:r>
    </w:p>
    <w:p>
      <w:pPr>
        <w:spacing w:before="75" w:after="0"/>
      </w:pPr>
      <w:r>
        <w:rPr/>
        <w:t xml:space="preserve">二、第三方销售平台崛起</w:t>
      </w:r>
    </w:p>
    <w:p>
      <w:pPr>
        <w:spacing w:before="75" w:after="0"/>
      </w:pPr>
      <w:r>
        <w:rPr/>
        <w:t xml:space="preserve">三、券商与保险机构布局</w:t>
      </w:r>
    </w:p>
    <w:p>
      <w:pPr>
        <w:spacing w:before="75" w:after="0"/>
      </w:pPr>
      <w:r>
        <w:rPr/>
        <w:t xml:space="preserve">第三节 现存问题与挑战</w:t>
      </w:r>
    </w:p>
    <w:p>
      <w:pPr>
        <w:spacing w:before="75" w:after="0"/>
      </w:pPr>
      <w:r>
        <w:rPr/>
        <w:t xml:space="preserve">一、同质化竞争困境</w:t>
      </w:r>
    </w:p>
    <w:p>
      <w:pPr>
        <w:spacing w:before="75" w:after="0"/>
      </w:pPr>
      <w:r>
        <w:rPr/>
        <w:t xml:space="preserve">二、投资者教育不足</w:t>
      </w:r>
    </w:p>
    <w:p>
      <w:pPr>
        <w:spacing w:before="75" w:after="0"/>
      </w:pPr>
      <w:r>
        <w:rPr/>
        <w:t xml:space="preserve">三、费率下行压力</w:t>
      </w:r>
    </w:p>
    <w:p>
      <w:pPr>
        <w:spacing w:before="75" w:after="0"/>
      </w:pPr>
      <w:r>
        <w:rPr>
          <w:b w:val="1"/>
          <w:bCs w:val="1"/>
        </w:rPr>
        <w:t xml:space="preserve">第五章 2026-2031年市场规模预测</w:t>
      </w:r>
    </w:p>
    <w:p>
      <w:pPr>
        <w:spacing w:before="75" w:after="0"/>
      </w:pPr>
      <w:r>
        <w:rPr/>
        <w:t xml:space="preserve">第一节 整体规模预测模型</w:t>
      </w:r>
    </w:p>
    <w:p>
      <w:pPr>
        <w:spacing w:before="75" w:after="0"/>
      </w:pPr>
      <w:r>
        <w:rPr/>
        <w:t xml:space="preserve">一、基于宏观经济变量的预测</w:t>
      </w:r>
    </w:p>
    <w:p>
      <w:pPr>
        <w:spacing w:before="75" w:after="0"/>
      </w:pPr>
      <w:r>
        <w:rPr/>
        <w:t xml:space="preserve">二、基于渗透率提升的预测</w:t>
      </w:r>
    </w:p>
    <w:p>
      <w:pPr>
        <w:spacing w:before="75" w:after="0"/>
      </w:pPr>
      <w:r>
        <w:rPr/>
        <w:t xml:space="preserve">三、敏感性分析与情景设置</w:t>
      </w:r>
    </w:p>
    <w:p>
      <w:pPr>
        <w:spacing w:before="75" w:after="0"/>
      </w:pPr>
      <w:r>
        <w:rPr/>
        <w:t xml:space="preserve">第二节 产品结构预测</w:t>
      </w:r>
    </w:p>
    <w:p>
      <w:pPr>
        <w:spacing w:before="75" w:after="0"/>
      </w:pPr>
      <w:r>
        <w:rPr/>
        <w:t xml:space="preserve">一、权益类产品增长潜力</w:t>
      </w:r>
    </w:p>
    <w:p>
      <w:pPr>
        <w:spacing w:before="75" w:after="0"/>
      </w:pPr>
      <w:r>
        <w:rPr/>
        <w:t xml:space="preserve">二、固收+产品需求变化</w:t>
      </w:r>
    </w:p>
    <w:p>
      <w:pPr>
        <w:spacing w:before="75" w:after="0"/>
      </w:pPr>
      <w:r>
        <w:rPr/>
        <w:t xml:space="preserve">三、另类投资产品创新</w:t>
      </w:r>
    </w:p>
    <w:p>
      <w:pPr>
        <w:spacing w:before="75" w:after="0"/>
      </w:pPr>
      <w:r>
        <w:rPr/>
        <w:t xml:space="preserve">第三节 渠道格局预测</w:t>
      </w:r>
    </w:p>
    <w:p>
      <w:pPr>
        <w:spacing w:before="75" w:after="0"/>
      </w:pPr>
      <w:r>
        <w:rPr/>
        <w:t xml:space="preserve">一、银行渠道转型方向</w:t>
      </w:r>
    </w:p>
    <w:p>
      <w:pPr>
        <w:spacing w:before="75" w:after="0"/>
      </w:pPr>
      <w:r>
        <w:rPr/>
        <w:t xml:space="preserve">二、独立销售机构扩张</w:t>
      </w:r>
    </w:p>
    <w:p>
      <w:pPr>
        <w:spacing w:before="75" w:after="0"/>
      </w:pPr>
      <w:r>
        <w:rPr/>
        <w:t xml:space="preserve">三、直销比例提升空间</w:t>
      </w:r>
    </w:p>
    <w:p>
      <w:pPr>
        <w:spacing w:before="75" w:after="0"/>
      </w:pPr>
      <w:r>
        <w:rPr>
          <w:b w:val="1"/>
          <w:bCs w:val="1"/>
        </w:rPr>
        <w:t xml:space="preserve">第六章 投资者行为与需求演变</w:t>
      </w:r>
    </w:p>
    <w:p>
      <w:pPr>
        <w:spacing w:before="75" w:after="0"/>
      </w:pPr>
      <w:r>
        <w:rPr/>
        <w:t xml:space="preserve">第一节 个人投资者画像</w:t>
      </w:r>
    </w:p>
    <w:p>
      <w:pPr>
        <w:spacing w:before="75" w:after="0"/>
      </w:pPr>
      <w:r>
        <w:rPr/>
        <w:t xml:space="preserve">一、年龄结构与风险偏好</w:t>
      </w:r>
    </w:p>
    <w:p>
      <w:pPr>
        <w:spacing w:before="75" w:after="0"/>
      </w:pPr>
      <w:r>
        <w:rPr/>
        <w:t xml:space="preserve">二、地域分布特征</w:t>
      </w:r>
    </w:p>
    <w:p>
      <w:pPr>
        <w:spacing w:before="75" w:after="0"/>
      </w:pPr>
      <w:r>
        <w:rPr/>
        <w:t xml:space="preserve">三、投资决策影响因素</w:t>
      </w:r>
    </w:p>
    <w:p>
      <w:pPr>
        <w:spacing w:before="75" w:after="0"/>
      </w:pPr>
      <w:r>
        <w:rPr/>
        <w:t xml:space="preserve">第二节 机构投资者变化</w:t>
      </w:r>
    </w:p>
    <w:p>
      <w:pPr>
        <w:spacing w:before="75" w:after="0"/>
      </w:pPr>
      <w:r>
        <w:rPr/>
        <w:t xml:space="preserve">一、保险资金配置调整</w:t>
      </w:r>
    </w:p>
    <w:p>
      <w:pPr>
        <w:spacing w:before="75" w:after="0"/>
      </w:pPr>
      <w:r>
        <w:rPr/>
        <w:t xml:space="preserve">二、养老金入市节奏</w:t>
      </w:r>
    </w:p>
    <w:p>
      <w:pPr>
        <w:spacing w:before="75" w:after="0"/>
      </w:pPr>
      <w:r>
        <w:rPr/>
        <w:t xml:space="preserve">三、企业理财需求升级</w:t>
      </w:r>
    </w:p>
    <w:p>
      <w:pPr>
        <w:spacing w:before="75" w:after="0"/>
      </w:pPr>
      <w:r>
        <w:rPr/>
        <w:t xml:space="preserve">第三节 需求趋势前瞻</w:t>
      </w:r>
    </w:p>
    <w:p>
      <w:pPr>
        <w:spacing w:before="75" w:after="0"/>
      </w:pPr>
      <w:r>
        <w:rPr/>
        <w:t xml:space="preserve">一、定制化服务需求</w:t>
      </w:r>
    </w:p>
    <w:p>
      <w:pPr>
        <w:spacing w:before="75" w:after="0"/>
      </w:pPr>
      <w:r>
        <w:rPr/>
        <w:t xml:space="preserve">二、投顾服务接受度</w:t>
      </w:r>
    </w:p>
    <w:p>
      <w:pPr>
        <w:spacing w:before="75" w:after="0"/>
      </w:pPr>
      <w:r>
        <w:rPr/>
        <w:t xml:space="preserve">三、esg投资关注度</w:t>
      </w:r>
    </w:p>
    <w:p>
      <w:pPr>
        <w:spacing w:before="75" w:after="0"/>
      </w:pPr>
      <w:r>
        <w:rPr>
          <w:b w:val="1"/>
          <w:bCs w:val="1"/>
        </w:rPr>
        <w:t xml:space="preserve">第七章 销售渠道创新与竞争</w:t>
      </w:r>
    </w:p>
    <w:p>
      <w:pPr>
        <w:spacing w:before="75" w:after="0"/>
      </w:pPr>
      <w:r>
        <w:rPr/>
        <w:t xml:space="preserve">第一节 传统渠道转型</w:t>
      </w:r>
    </w:p>
    <w:p>
      <w:pPr>
        <w:spacing w:before="75" w:after="0"/>
      </w:pPr>
      <w:r>
        <w:rPr/>
        <w:t xml:space="preserve">一、银行理财子公司影响</w:t>
      </w:r>
    </w:p>
    <w:p>
      <w:pPr>
        <w:spacing w:before="75" w:after="0"/>
      </w:pPr>
      <w:r>
        <w:rPr/>
        <w:t xml:space="preserve">二、券商财富管理升级</w:t>
      </w:r>
    </w:p>
    <w:p>
      <w:pPr>
        <w:spacing w:before="75" w:after="0"/>
      </w:pPr>
      <w:r>
        <w:rPr/>
        <w:t xml:space="preserve">三、邮政储蓄渠道潜力</w:t>
      </w:r>
    </w:p>
    <w:p>
      <w:pPr>
        <w:spacing w:before="75" w:after="0"/>
      </w:pPr>
      <w:r>
        <w:rPr/>
        <w:t xml:space="preserve">第二节 互联网平台发展</w:t>
      </w:r>
    </w:p>
    <w:p>
      <w:pPr>
        <w:spacing w:before="75" w:after="0"/>
      </w:pPr>
      <w:r>
        <w:rPr/>
        <w:t xml:space="preserve">一、头部平台竞争格局</w:t>
      </w:r>
    </w:p>
    <w:p>
      <w:pPr>
        <w:spacing w:before="75" w:after="0"/>
      </w:pPr>
      <w:r>
        <w:rPr/>
        <w:t xml:space="preserve">二、直播带货新模式</w:t>
      </w:r>
    </w:p>
    <w:p>
      <w:pPr>
        <w:spacing w:before="75" w:after="0"/>
      </w:pPr>
      <w:r>
        <w:rPr/>
        <w:t xml:space="preserve">三、社交化营销实践</w:t>
      </w:r>
    </w:p>
    <w:p>
      <w:pPr>
        <w:spacing w:before="75" w:after="0"/>
      </w:pPr>
      <w:r>
        <w:rPr/>
        <w:t xml:space="preserve">第三节 跨界合作探索</w:t>
      </w:r>
    </w:p>
    <w:p>
      <w:pPr>
        <w:spacing w:before="75" w:after="0"/>
      </w:pPr>
      <w:r>
        <w:rPr/>
        <w:t xml:space="preserve">一、基金+互联网生态</w:t>
      </w:r>
    </w:p>
    <w:p>
      <w:pPr>
        <w:spacing w:before="75" w:after="0"/>
      </w:pPr>
      <w:r>
        <w:rPr/>
        <w:t xml:space="preserve">二、基金+零售场景</w:t>
      </w:r>
    </w:p>
    <w:p>
      <w:pPr>
        <w:spacing w:before="75" w:after="0"/>
      </w:pPr>
      <w:r>
        <w:rPr/>
        <w:t xml:space="preserve">三、基金+养老社区</w:t>
      </w:r>
    </w:p>
    <w:p>
      <w:pPr>
        <w:spacing w:before="75" w:after="0"/>
      </w:pPr>
      <w:r>
        <w:rPr>
          <w:b w:val="1"/>
          <w:bCs w:val="1"/>
        </w:rPr>
        <w:t xml:space="preserve">第八章 金融科技应用与数字化</w:t>
      </w:r>
    </w:p>
    <w:p>
      <w:pPr>
        <w:spacing w:before="75" w:after="0"/>
      </w:pPr>
      <w:r>
        <w:rPr/>
        <w:t xml:space="preserve">第一节 智能投顾进展</w:t>
      </w:r>
    </w:p>
    <w:p>
      <w:pPr>
        <w:spacing w:before="75" w:after="0"/>
      </w:pPr>
      <w:r>
        <w:rPr/>
        <w:t xml:space="preserve">一、主流平台功能比较</w:t>
      </w:r>
    </w:p>
    <w:p>
      <w:pPr>
        <w:spacing w:before="75" w:after="0"/>
      </w:pPr>
      <w:r>
        <w:rPr/>
        <w:t xml:space="preserve">二、用户接受度调查</w:t>
      </w:r>
    </w:p>
    <w:p>
      <w:pPr>
        <w:spacing w:before="75" w:after="0"/>
      </w:pPr>
      <w:r>
        <w:rPr/>
        <w:t xml:space="preserve">三、监管合规边界</w:t>
      </w:r>
    </w:p>
    <w:p>
      <w:pPr>
        <w:spacing w:before="75" w:after="0"/>
      </w:pPr>
      <w:r>
        <w:rPr/>
        <w:t xml:space="preserve">第二节 区块链技术应用</w:t>
      </w:r>
    </w:p>
    <w:p>
      <w:pPr>
        <w:spacing w:before="75" w:after="0"/>
      </w:pPr>
      <w:r>
        <w:rPr/>
        <w:t xml:space="preserve">一、基金销售流程优化</w:t>
      </w:r>
    </w:p>
    <w:p>
      <w:pPr>
        <w:spacing w:before="75" w:after="0"/>
      </w:pPr>
      <w:r>
        <w:rPr/>
        <w:t xml:space="preserve">二、投资者身份认证</w:t>
      </w:r>
    </w:p>
    <w:p>
      <w:pPr>
        <w:spacing w:before="75" w:after="0"/>
      </w:pPr>
      <w:r>
        <w:rPr/>
        <w:t xml:space="preserve">三、交易结算创新</w:t>
      </w:r>
    </w:p>
    <w:p>
      <w:pPr>
        <w:spacing w:before="75" w:after="0"/>
      </w:pPr>
      <w:r>
        <w:rPr/>
        <w:t xml:space="preserve">第三节 大数据与ai赋能</w:t>
      </w:r>
    </w:p>
    <w:p>
      <w:pPr>
        <w:spacing w:before="75" w:after="0"/>
      </w:pPr>
      <w:r>
        <w:rPr/>
        <w:t xml:space="preserve">一、精准营销实践</w:t>
      </w:r>
    </w:p>
    <w:p>
      <w:pPr>
        <w:spacing w:before="75" w:after="0"/>
      </w:pPr>
      <w:r>
        <w:rPr/>
        <w:t xml:space="preserve">二、风险测评升级</w:t>
      </w:r>
    </w:p>
    <w:p>
      <w:pPr>
        <w:spacing w:before="75" w:after="0"/>
      </w:pPr>
      <w:r>
        <w:rPr/>
        <w:t xml:space="preserve">三、投资者画像系统</w:t>
      </w:r>
    </w:p>
    <w:p>
      <w:pPr>
        <w:spacing w:before="75" w:after="0"/>
      </w:pPr>
      <w:r>
        <w:rPr>
          <w:b w:val="1"/>
          <w:bCs w:val="1"/>
        </w:rPr>
        <w:t xml:space="preserve">第九章 产品创新与资产配置</w:t>
      </w:r>
    </w:p>
    <w:p>
      <w:pPr>
        <w:spacing w:before="75" w:after="0"/>
      </w:pPr>
      <w:r>
        <w:rPr/>
        <w:t xml:space="preserve">第一节 公募reits发展</w:t>
      </w:r>
    </w:p>
    <w:p>
      <w:pPr>
        <w:spacing w:before="75" w:after="0"/>
      </w:pPr>
      <w:r>
        <w:rPr/>
        <w:t xml:space="preserve">一、基础设施类产品表现</w:t>
      </w:r>
    </w:p>
    <w:p>
      <w:pPr>
        <w:spacing w:before="75" w:after="0"/>
      </w:pPr>
      <w:r>
        <w:rPr/>
        <w:t xml:space="preserve">二、商业地产类产品前景</w:t>
      </w:r>
    </w:p>
    <w:p>
      <w:pPr>
        <w:spacing w:before="75" w:after="0"/>
      </w:pPr>
      <w:r>
        <w:rPr/>
        <w:t xml:space="preserve">三、投资者教育需求</w:t>
      </w:r>
    </w:p>
    <w:p>
      <w:pPr>
        <w:spacing w:before="75" w:after="0"/>
      </w:pPr>
      <w:r>
        <w:rPr/>
        <w:t xml:space="preserve">第二节 etf产品创新</w:t>
      </w:r>
    </w:p>
    <w:p>
      <w:pPr>
        <w:spacing w:before="75" w:after="0"/>
      </w:pPr>
      <w:r>
        <w:rPr/>
        <w:t xml:space="preserve">一、行业主题etf竞争</w:t>
      </w:r>
    </w:p>
    <w:p>
      <w:pPr>
        <w:spacing w:before="75" w:after="0"/>
      </w:pPr>
      <w:r>
        <w:rPr/>
        <w:t xml:space="preserve">二、smart beta策略</w:t>
      </w:r>
    </w:p>
    <w:p>
      <w:pPr>
        <w:spacing w:before="75" w:after="0"/>
      </w:pPr>
      <w:r>
        <w:rPr/>
        <w:t xml:space="preserve">三、跨境etf机会</w:t>
      </w:r>
    </w:p>
    <w:p>
      <w:pPr>
        <w:spacing w:before="75" w:after="0"/>
      </w:pPr>
      <w:r>
        <w:rPr/>
        <w:t xml:space="preserve">第三节 fof与mom发展</w:t>
      </w:r>
    </w:p>
    <w:p>
      <w:pPr>
        <w:spacing w:before="75" w:after="0"/>
      </w:pPr>
      <w:r>
        <w:rPr/>
        <w:t xml:space="preserve">一、养老目标基金进展</w:t>
      </w:r>
    </w:p>
    <w:p>
      <w:pPr>
        <w:spacing w:before="75" w:after="0"/>
      </w:pPr>
      <w:r>
        <w:rPr/>
        <w:t xml:space="preserve">二、机构定制化需求</w:t>
      </w:r>
    </w:p>
    <w:p>
      <w:pPr>
        <w:spacing w:before="75" w:after="0"/>
      </w:pPr>
      <w:r>
        <w:rPr/>
        <w:t xml:space="preserve">三、管理人筛选标准</w:t>
      </w:r>
    </w:p>
    <w:p>
      <w:pPr>
        <w:spacing w:before="75" w:after="0"/>
      </w:pPr>
      <w:r>
        <w:rPr>
          <w:b w:val="1"/>
          <w:bCs w:val="1"/>
        </w:rPr>
        <w:t xml:space="preserve">第十章 监管政策与合规管理</w:t>
      </w:r>
    </w:p>
    <w:p>
      <w:pPr>
        <w:spacing w:before="75" w:after="0"/>
      </w:pPr>
      <w:r>
        <w:rPr/>
        <w:t xml:space="preserve">第一节 最新监管动态</w:t>
      </w:r>
    </w:p>
    <w:p>
      <w:pPr>
        <w:spacing w:before="75" w:after="0"/>
      </w:pPr>
      <w:r>
        <w:rPr/>
        <w:t xml:space="preserve">一、销售适当性新规</w:t>
      </w:r>
    </w:p>
    <w:p>
      <w:pPr>
        <w:spacing w:before="75" w:after="0"/>
      </w:pPr>
      <w:r>
        <w:rPr/>
        <w:t xml:space="preserve">二、宣传推介规范</w:t>
      </w:r>
    </w:p>
    <w:p>
      <w:pPr>
        <w:spacing w:before="75" w:after="0"/>
      </w:pPr>
      <w:r>
        <w:rPr/>
        <w:t xml:space="preserve">三、反洗钱要求升级</w:t>
      </w:r>
    </w:p>
    <w:p>
      <w:pPr>
        <w:spacing w:before="75" w:after="0"/>
      </w:pPr>
      <w:r>
        <w:rPr/>
        <w:t xml:space="preserve">第二节 合规风险管理</w:t>
      </w:r>
    </w:p>
    <w:p>
      <w:pPr>
        <w:spacing w:before="75" w:after="0"/>
      </w:pPr>
      <w:r>
        <w:rPr/>
        <w:t xml:space="preserve">一、典型案例分析</w:t>
      </w:r>
    </w:p>
    <w:p>
      <w:pPr>
        <w:spacing w:before="75" w:after="0"/>
      </w:pPr>
      <w:r>
        <w:rPr/>
        <w:t xml:space="preserve">二、内部管控体系</w:t>
      </w:r>
    </w:p>
    <w:p>
      <w:pPr>
        <w:spacing w:before="75" w:after="0"/>
      </w:pPr>
      <w:r>
        <w:rPr/>
        <w:t xml:space="preserve">三、投资者投诉处理</w:t>
      </w:r>
    </w:p>
    <w:p>
      <w:pPr>
        <w:spacing w:before="75" w:after="0"/>
      </w:pPr>
      <w:r>
        <w:rPr/>
        <w:t xml:space="preserve">第三节 行业自律发展</w:t>
      </w:r>
    </w:p>
    <w:p>
      <w:pPr>
        <w:spacing w:before="75" w:after="0"/>
      </w:pPr>
      <w:r>
        <w:rPr/>
        <w:t xml:space="preserve">一、协会自律规则</w:t>
      </w:r>
    </w:p>
    <w:p>
      <w:pPr>
        <w:spacing w:before="75" w:after="0"/>
      </w:pPr>
      <w:r>
        <w:rPr/>
        <w:t xml:space="preserve">二、评级机构作用</w:t>
      </w:r>
    </w:p>
    <w:p>
      <w:pPr>
        <w:spacing w:before="75" w:after="0"/>
      </w:pPr>
      <w:r>
        <w:rPr/>
        <w:t xml:space="preserve">三、媒体监督机制</w:t>
      </w:r>
    </w:p>
    <w:p>
      <w:pPr>
        <w:spacing w:before="75" w:after="0"/>
      </w:pPr>
      <w:r>
        <w:rPr>
          <w:b w:val="1"/>
          <w:bCs w:val="1"/>
        </w:rPr>
        <w:t xml:space="preserve">第十一章 区域市场发展差异</w:t>
      </w:r>
    </w:p>
    <w:p>
      <w:pPr>
        <w:spacing w:before="75" w:after="0"/>
      </w:pPr>
      <w:r>
        <w:rPr/>
        <w:t xml:space="preserve">第一节 东部沿海地区</w:t>
      </w:r>
    </w:p>
    <w:p>
      <w:pPr>
        <w:spacing w:before="75" w:after="0"/>
      </w:pPr>
      <w:r>
        <w:rPr/>
        <w:t xml:space="preserve">一、高净值客户服务</w:t>
      </w:r>
    </w:p>
    <w:p>
      <w:pPr>
        <w:spacing w:before="75" w:after="0"/>
      </w:pPr>
      <w:r>
        <w:rPr/>
        <w:t xml:space="preserve">二、外资机构布局</w:t>
      </w:r>
    </w:p>
    <w:p>
      <w:pPr>
        <w:spacing w:before="75" w:after="0"/>
      </w:pPr>
      <w:r>
        <w:rPr/>
        <w:t xml:space="preserve">三、创新产品试点</w:t>
      </w:r>
    </w:p>
    <w:p>
      <w:pPr>
        <w:spacing w:before="75" w:after="0"/>
      </w:pPr>
      <w:r>
        <w:rPr/>
        <w:t xml:space="preserve">第二节 中部地区</w:t>
      </w:r>
    </w:p>
    <w:p>
      <w:pPr>
        <w:spacing w:before="75" w:after="0"/>
      </w:pPr>
      <w:r>
        <w:rPr/>
        <w:t xml:space="preserve">一、省会城市发展</w:t>
      </w:r>
    </w:p>
    <w:p>
      <w:pPr>
        <w:spacing w:before="75" w:after="0"/>
      </w:pPr>
      <w:r>
        <w:rPr/>
        <w:t xml:space="preserve">二、县域市场潜力</w:t>
      </w:r>
    </w:p>
    <w:p>
      <w:pPr>
        <w:spacing w:before="75" w:after="0"/>
      </w:pPr>
      <w:r>
        <w:rPr/>
        <w:t xml:space="preserve">三、投资者教育</w:t>
      </w:r>
    </w:p>
    <w:p>
      <w:pPr>
        <w:spacing w:before="75" w:after="0"/>
      </w:pPr>
      <w:r>
        <w:rPr/>
        <w:t xml:space="preserve">第三节 西部地区</w:t>
      </w:r>
    </w:p>
    <w:p>
      <w:pPr>
        <w:spacing w:before="75" w:after="0"/>
      </w:pPr>
      <w:r>
        <w:rPr/>
        <w:t xml:space="preserve">一、政策支持力度</w:t>
      </w:r>
    </w:p>
    <w:p>
      <w:pPr>
        <w:spacing w:before="75" w:after="0"/>
      </w:pPr>
      <w:r>
        <w:rPr/>
        <w:t xml:space="preserve">二、机构覆盖密度</w:t>
      </w:r>
    </w:p>
    <w:p>
      <w:pPr>
        <w:spacing w:before="75" w:after="0"/>
      </w:pPr>
      <w:r>
        <w:rPr/>
        <w:t xml:space="preserve">三、特色产品需求</w:t>
      </w:r>
    </w:p>
    <w:p>
      <w:pPr>
        <w:spacing w:before="75" w:after="0"/>
      </w:pPr>
      <w:r>
        <w:rPr>
          <w:b w:val="1"/>
          <w:bCs w:val="1"/>
        </w:rPr>
        <w:t xml:space="preserve">第十二章 跨境业务与国际化</w:t>
      </w:r>
    </w:p>
    <w:p>
      <w:pPr>
        <w:spacing w:before="75" w:after="0"/>
      </w:pPr>
      <w:r>
        <w:rPr/>
        <w:t xml:space="preserve">第一节 qdii业务发展</w:t>
      </w:r>
    </w:p>
    <w:p>
      <w:pPr>
        <w:spacing w:before="75" w:after="0"/>
      </w:pPr>
      <w:r>
        <w:rPr/>
        <w:t xml:space="preserve">一、额度使用情况</w:t>
      </w:r>
    </w:p>
    <w:p>
      <w:pPr>
        <w:spacing w:before="75" w:after="0"/>
      </w:pPr>
      <w:r>
        <w:rPr/>
        <w:t xml:space="preserve">二、产品创新方向</w:t>
      </w:r>
    </w:p>
    <w:p>
      <w:pPr>
        <w:spacing w:before="75" w:after="0"/>
      </w:pPr>
      <w:r>
        <w:rPr/>
        <w:t xml:space="preserve">三、汇率风险管理</w:t>
      </w:r>
    </w:p>
    <w:p>
      <w:pPr>
        <w:spacing w:before="75" w:after="0"/>
      </w:pPr>
      <w:r>
        <w:rPr/>
        <w:t xml:space="preserve">第二节 粤港澳大湾区机遇</w:t>
      </w:r>
    </w:p>
    <w:p>
      <w:pPr>
        <w:spacing w:before="75" w:after="0"/>
      </w:pPr>
      <w:r>
        <w:rPr/>
        <w:t xml:space="preserve">一、跨境理财通进展</w:t>
      </w:r>
    </w:p>
    <w:p>
      <w:pPr>
        <w:spacing w:before="75" w:after="0"/>
      </w:pPr>
      <w:r>
        <w:rPr/>
        <w:t xml:space="preserve">二、机构合作模式</w:t>
      </w:r>
    </w:p>
    <w:p>
      <w:pPr>
        <w:spacing w:before="75" w:after="0"/>
      </w:pPr>
      <w:r>
        <w:rPr/>
        <w:t xml:space="preserve">三、监管协调挑战</w:t>
      </w:r>
    </w:p>
    <w:p>
      <w:pPr>
        <w:spacing w:before="75" w:after="0"/>
      </w:pPr>
      <w:r>
        <w:rPr/>
        <w:t xml:space="preserve">第三节 外资机构竞争</w:t>
      </w:r>
    </w:p>
    <w:p>
      <w:pPr>
        <w:spacing w:before="75" w:after="0"/>
      </w:pPr>
      <w:r>
        <w:rPr/>
        <w:t xml:space="preserve">一、独资公募影响</w:t>
      </w:r>
    </w:p>
    <w:p>
      <w:pPr>
        <w:spacing w:before="75" w:after="0"/>
      </w:pPr>
      <w:r>
        <w:rPr/>
        <w:t xml:space="preserve">二、本土化策略</w:t>
      </w:r>
    </w:p>
    <w:p>
      <w:pPr>
        <w:spacing w:before="75" w:after="0"/>
      </w:pPr>
      <w:r>
        <w:rPr/>
        <w:t xml:space="preserve">三、人才争夺战</w:t>
      </w:r>
    </w:p>
    <w:p>
      <w:pPr>
        <w:spacing w:before="75" w:after="0"/>
      </w:pPr>
      <w:r>
        <w:rPr>
          <w:b w:val="1"/>
          <w:bCs w:val="1"/>
        </w:rPr>
        <w:t xml:space="preserve">第十三章 费率改革与盈利模式</w:t>
      </w:r>
    </w:p>
    <w:p>
      <w:pPr>
        <w:spacing w:before="75" w:after="0"/>
      </w:pPr>
      <w:r>
        <w:rPr/>
        <w:t xml:space="preserve">第一节 费率下行趋势</w:t>
      </w:r>
    </w:p>
    <w:p>
      <w:pPr>
        <w:spacing w:before="75" w:after="0"/>
      </w:pPr>
      <w:r>
        <w:rPr/>
        <w:t xml:space="preserve">一、国际比较分析</w:t>
      </w:r>
    </w:p>
    <w:p>
      <w:pPr>
        <w:spacing w:before="75" w:after="0"/>
      </w:pPr>
      <w:r>
        <w:rPr/>
        <w:t xml:space="preserve">二、监管引导方向</w:t>
      </w:r>
    </w:p>
    <w:p>
      <w:pPr>
        <w:spacing w:before="75" w:after="0"/>
      </w:pPr>
      <w:r>
        <w:rPr/>
        <w:t xml:space="preserve">三、机构应对策略</w:t>
      </w:r>
    </w:p>
    <w:p>
      <w:pPr>
        <w:spacing w:before="75" w:after="0"/>
      </w:pPr>
      <w:r>
        <w:rPr/>
        <w:t xml:space="preserve">第二节 增值服务变现</w:t>
      </w:r>
    </w:p>
    <w:p>
      <w:pPr>
        <w:spacing w:before="75" w:after="0"/>
      </w:pPr>
      <w:r>
        <w:rPr/>
        <w:t xml:space="preserve">一、投顾收费模式</w:t>
      </w:r>
    </w:p>
    <w:p>
      <w:pPr>
        <w:spacing w:before="75" w:after="0"/>
      </w:pPr>
      <w:r>
        <w:rPr/>
        <w:t xml:space="preserve">二、会员制探索</w:t>
      </w:r>
    </w:p>
    <w:p>
      <w:pPr>
        <w:spacing w:before="75" w:after="0"/>
      </w:pPr>
      <w:r>
        <w:rPr/>
        <w:t xml:space="preserve">三、生态圈价值</w:t>
      </w:r>
    </w:p>
    <w:p>
      <w:pPr>
        <w:spacing w:before="75" w:after="0"/>
      </w:pPr>
      <w:r>
        <w:rPr/>
        <w:t xml:space="preserve">第三节 成本控制优化</w:t>
      </w:r>
    </w:p>
    <w:p>
      <w:pPr>
        <w:spacing w:before="75" w:after="0"/>
      </w:pPr>
      <w:r>
        <w:rPr/>
        <w:t xml:space="preserve">一、数字化降本</w:t>
      </w:r>
    </w:p>
    <w:p>
      <w:pPr>
        <w:spacing w:before="75" w:after="0"/>
      </w:pPr>
      <w:r>
        <w:rPr/>
        <w:t xml:space="preserve">二、集约化运营</w:t>
      </w:r>
    </w:p>
    <w:p>
      <w:pPr>
        <w:spacing w:before="75" w:after="0"/>
      </w:pPr>
      <w:r>
        <w:rPr/>
        <w:t xml:space="preserve">三、外包策略</w:t>
      </w:r>
    </w:p>
    <w:p>
      <w:pPr>
        <w:spacing w:before="75" w:after="0"/>
      </w:pPr>
      <w:r>
        <w:rPr>
          <w:b w:val="1"/>
          <w:bCs w:val="1"/>
        </w:rPr>
        <w:t xml:space="preserve">第十四章 人才发展与团队建设</w:t>
      </w:r>
    </w:p>
    <w:p>
      <w:pPr>
        <w:spacing w:before="75" w:after="0"/>
      </w:pPr>
      <w:r>
        <w:rPr/>
        <w:t xml:space="preserve">第一节 专业人才需求</w:t>
      </w:r>
    </w:p>
    <w:p>
      <w:pPr>
        <w:spacing w:before="75" w:after="0"/>
      </w:pPr>
      <w:r>
        <w:rPr/>
        <w:t xml:space="preserve">一、投顾人才缺口</w:t>
      </w:r>
    </w:p>
    <w:p>
      <w:pPr>
        <w:spacing w:before="75" w:after="0"/>
      </w:pPr>
      <w:r>
        <w:rPr/>
        <w:t xml:space="preserve">二、科技复合型人才</w:t>
      </w:r>
    </w:p>
    <w:p>
      <w:pPr>
        <w:spacing w:before="75" w:after="0"/>
      </w:pPr>
      <w:r>
        <w:rPr/>
        <w:t xml:space="preserve">三、国际化团队</w:t>
      </w:r>
    </w:p>
    <w:p>
      <w:pPr>
        <w:spacing w:before="75" w:after="0"/>
      </w:pPr>
      <w:r>
        <w:rPr/>
        <w:t xml:space="preserve">第二节 培训体系构建</w:t>
      </w:r>
    </w:p>
    <w:p>
      <w:pPr>
        <w:spacing w:before="75" w:after="0"/>
      </w:pPr>
      <w:r>
        <w:rPr/>
        <w:t xml:space="preserve">一、认证标准统一</w:t>
      </w:r>
    </w:p>
    <w:p>
      <w:pPr>
        <w:spacing w:before="75" w:after="0"/>
      </w:pPr>
      <w:r>
        <w:rPr/>
        <w:t xml:space="preserve">二、持续教育机制</w:t>
      </w:r>
    </w:p>
    <w:p>
      <w:pPr>
        <w:spacing w:before="75" w:after="0"/>
      </w:pPr>
      <w:r>
        <w:rPr/>
        <w:t xml:space="preserve">三、实战能力培养</w:t>
      </w:r>
    </w:p>
    <w:p>
      <w:pPr>
        <w:spacing w:before="75" w:after="0"/>
      </w:pPr>
      <w:r>
        <w:rPr/>
        <w:t xml:space="preserve">第三节 激励机制创新</w:t>
      </w:r>
    </w:p>
    <w:p>
      <w:pPr>
        <w:spacing w:before="75" w:after="0"/>
      </w:pPr>
      <w:r>
        <w:rPr/>
        <w:t xml:space="preserve">一、长期考核导向</w:t>
      </w:r>
    </w:p>
    <w:p>
      <w:pPr>
        <w:spacing w:before="75" w:after="0"/>
      </w:pPr>
      <w:r>
        <w:rPr/>
        <w:t xml:space="preserve">二、股权激励实践</w:t>
      </w:r>
    </w:p>
    <w:p>
      <w:pPr>
        <w:spacing w:before="75" w:after="0"/>
      </w:pPr>
      <w:r>
        <w:rPr/>
        <w:t xml:space="preserve">三、文化凝聚力</w:t>
      </w:r>
    </w:p>
    <w:p>
      <w:pPr>
        <w:spacing w:before="75" w:after="0"/>
      </w:pPr>
      <w:r>
        <w:rPr>
          <w:b w:val="1"/>
          <w:bCs w:val="1"/>
        </w:rPr>
        <w:t xml:space="preserve">第十五章 风险管理与投资者保护</w:t>
      </w:r>
    </w:p>
    <w:p>
      <w:pPr>
        <w:spacing w:before="75" w:after="0"/>
      </w:pPr>
      <w:r>
        <w:rPr/>
        <w:t xml:space="preserve">第一节 市场风险防控</w:t>
      </w:r>
    </w:p>
    <w:p>
      <w:pPr>
        <w:spacing w:before="75" w:after="0"/>
      </w:pPr>
      <w:r>
        <w:rPr/>
        <w:t xml:space="preserve">一、波动率管理工具</w:t>
      </w:r>
    </w:p>
    <w:p>
      <w:pPr>
        <w:spacing w:before="75" w:after="0"/>
      </w:pPr>
      <w:r>
        <w:rPr/>
        <w:t xml:space="preserve">二、压力测试框架</w:t>
      </w:r>
    </w:p>
    <w:p>
      <w:pPr>
        <w:spacing w:before="75" w:after="0"/>
      </w:pPr>
      <w:r>
        <w:rPr/>
        <w:t xml:space="preserve">三、流动性预案</w:t>
      </w:r>
    </w:p>
    <w:p>
      <w:pPr>
        <w:spacing w:before="75" w:after="0"/>
      </w:pPr>
      <w:r>
        <w:rPr/>
        <w:t xml:space="preserve">第二节 操作风险防范</w:t>
      </w:r>
    </w:p>
    <w:p>
      <w:pPr>
        <w:spacing w:before="75" w:after="0"/>
      </w:pPr>
      <w:r>
        <w:rPr/>
        <w:t xml:space="preserve">一、系统故障应对</w:t>
      </w:r>
    </w:p>
    <w:p>
      <w:pPr>
        <w:spacing w:before="75" w:after="0"/>
      </w:pPr>
      <w:r>
        <w:rPr/>
        <w:t xml:space="preserve">二、销售误导治理</w:t>
      </w:r>
    </w:p>
    <w:p>
      <w:pPr>
        <w:spacing w:before="75" w:after="0"/>
      </w:pPr>
      <w:r>
        <w:rPr/>
        <w:t xml:space="preserve">三、信息安全保障</w:t>
      </w:r>
    </w:p>
    <w:p>
      <w:pPr>
        <w:spacing w:before="75" w:after="0"/>
      </w:pPr>
      <w:r>
        <w:rPr/>
        <w:t xml:space="preserve">第三节 投资者权益保护</w:t>
      </w:r>
    </w:p>
    <w:p>
      <w:pPr>
        <w:spacing w:before="75" w:after="0"/>
      </w:pPr>
      <w:r>
        <w:rPr/>
        <w:t xml:space="preserve">一、适当性管理</w:t>
      </w:r>
    </w:p>
    <w:p>
      <w:pPr>
        <w:spacing w:before="75" w:after="0"/>
      </w:pPr>
      <w:r>
        <w:rPr/>
        <w:t xml:space="preserve">二、纠纷解决机制</w:t>
      </w:r>
    </w:p>
    <w:p>
      <w:pPr>
        <w:spacing w:before="75" w:after="0"/>
      </w:pPr>
      <w:r>
        <w:rPr/>
        <w:t xml:space="preserve">三、教育长效机制</w:t>
      </w:r>
    </w:p>
    <w:p>
      <w:pPr>
        <w:spacing w:before="75" w:after="0"/>
      </w:pPr>
      <w:r>
        <w:rPr>
          <w:b w:val="1"/>
          <w:bCs w:val="1"/>
        </w:rPr>
        <w:t xml:space="preserve">第十六章 esg投资与责任销售</w:t>
      </w:r>
    </w:p>
    <w:p>
      <w:pPr>
        <w:spacing w:before="75" w:after="0"/>
      </w:pPr>
      <w:r>
        <w:rPr/>
        <w:t xml:space="preserve">第一节 esg产品发展</w:t>
      </w:r>
    </w:p>
    <w:p>
      <w:pPr>
        <w:spacing w:before="75" w:after="0"/>
      </w:pPr>
      <w:r>
        <w:rPr/>
        <w:t xml:space="preserve">一、监管标准完善</w:t>
      </w:r>
    </w:p>
    <w:p>
      <w:pPr>
        <w:spacing w:before="75" w:after="0"/>
      </w:pPr>
      <w:r>
        <w:rPr/>
        <w:t xml:space="preserve">二、产品创新实践</w:t>
      </w:r>
    </w:p>
    <w:p>
      <w:pPr>
        <w:spacing w:before="75" w:after="0"/>
      </w:pPr>
      <w:r>
        <w:rPr/>
        <w:t xml:space="preserve">三、业绩表现分析</w:t>
      </w:r>
    </w:p>
    <w:p>
      <w:pPr>
        <w:spacing w:before="75" w:after="0"/>
      </w:pPr>
      <w:r>
        <w:rPr/>
        <w:t xml:space="preserve">第二节 责任销售实践</w:t>
      </w:r>
    </w:p>
    <w:p>
      <w:pPr>
        <w:spacing w:before="75" w:after="0"/>
      </w:pPr>
      <w:r>
        <w:rPr/>
        <w:t xml:space="preserve">一、绿色金融理念</w:t>
      </w:r>
    </w:p>
    <w:p>
      <w:pPr>
        <w:spacing w:before="75" w:after="0"/>
      </w:pPr>
      <w:r>
        <w:rPr/>
        <w:t xml:space="preserve">二、投资者引导</w:t>
      </w:r>
    </w:p>
    <w:p>
      <w:pPr>
        <w:spacing w:before="75" w:after="0"/>
      </w:pPr>
      <w:r>
        <w:rPr/>
        <w:t xml:space="preserve">三、信息披露标准</w:t>
      </w:r>
    </w:p>
    <w:p>
      <w:pPr>
        <w:spacing w:before="75" w:after="0"/>
      </w:pPr>
      <w:r>
        <w:rPr/>
        <w:t xml:space="preserve">第三节 国际经验借鉴</w:t>
      </w:r>
    </w:p>
    <w:p>
      <w:pPr>
        <w:spacing w:before="75" w:after="0"/>
      </w:pPr>
      <w:r>
        <w:rPr/>
        <w:t xml:space="preserve">一、欧盟sfdr影响</w:t>
      </w:r>
    </w:p>
    <w:p>
      <w:pPr>
        <w:spacing w:before="75" w:after="0"/>
      </w:pPr>
      <w:r>
        <w:rPr/>
        <w:t xml:space="preserve">二、美国sec新政</w:t>
      </w:r>
    </w:p>
    <w:p>
      <w:pPr>
        <w:spacing w:before="75" w:after="0"/>
      </w:pPr>
      <w:r>
        <w:rPr/>
        <w:t xml:space="preserve">三、亚洲市场特色</w:t>
      </w:r>
    </w:p>
    <w:p>
      <w:pPr>
        <w:spacing w:before="75" w:after="0"/>
      </w:pPr>
      <w:r>
        <w:rPr>
          <w:b w:val="1"/>
          <w:bCs w:val="1"/>
        </w:rPr>
        <w:t xml:space="preserve">第十七章 行业并购与战略合作</w:t>
      </w:r>
    </w:p>
    <w:p>
      <w:pPr>
        <w:spacing w:before="75" w:after="0"/>
      </w:pPr>
      <w:r>
        <w:rPr/>
        <w:t xml:space="preserve">第一节 横向整合案例</w:t>
      </w:r>
    </w:p>
    <w:p>
      <w:pPr>
        <w:spacing w:before="75" w:after="0"/>
      </w:pPr>
      <w:r>
        <w:rPr/>
        <w:t xml:space="preserve">一、销售机构并购</w:t>
      </w:r>
    </w:p>
    <w:p>
      <w:pPr>
        <w:spacing w:before="75" w:after="0"/>
      </w:pPr>
      <w:r>
        <w:rPr/>
        <w:t xml:space="preserve">二、平台间战略联盟</w:t>
      </w:r>
    </w:p>
    <w:p>
      <w:pPr>
        <w:spacing w:before="75" w:after="0"/>
      </w:pPr>
      <w:r>
        <w:rPr/>
        <w:t xml:space="preserve">三、外资收购动态</w:t>
      </w:r>
    </w:p>
    <w:p>
      <w:pPr>
        <w:spacing w:before="75" w:after="0"/>
      </w:pPr>
      <w:r>
        <w:rPr/>
        <w:t xml:space="preserve">第二节 纵向协同发展</w:t>
      </w:r>
    </w:p>
    <w:p>
      <w:pPr>
        <w:spacing w:before="75" w:after="0"/>
      </w:pPr>
      <w:r>
        <w:rPr/>
        <w:t xml:space="preserve">一、与资产管理方合作</w:t>
      </w:r>
    </w:p>
    <w:p>
      <w:pPr>
        <w:spacing w:before="75" w:after="0"/>
      </w:pPr>
      <w:r>
        <w:rPr/>
        <w:t xml:space="preserve">二、与科技公司融合</w:t>
      </w:r>
    </w:p>
    <w:p>
      <w:pPr>
        <w:spacing w:before="75" w:after="0"/>
      </w:pPr>
      <w:r>
        <w:rPr/>
        <w:t xml:space="preserve">三、与内容提供商联动</w:t>
      </w:r>
    </w:p>
    <w:p>
      <w:pPr>
        <w:spacing w:before="75" w:after="0"/>
      </w:pPr>
      <w:r>
        <w:rPr/>
        <w:t xml:space="preserve">第三节 混业经营趋势</w:t>
      </w:r>
    </w:p>
    <w:p>
      <w:pPr>
        <w:spacing w:before="75" w:after="0"/>
      </w:pPr>
      <w:r>
        <w:rPr/>
        <w:t xml:space="preserve">一、银行系优势强化</w:t>
      </w:r>
    </w:p>
    <w:p>
      <w:pPr>
        <w:spacing w:before="75" w:after="0"/>
      </w:pPr>
      <w:r>
        <w:rPr/>
        <w:t xml:space="preserve">二、互联网巨头布局</w:t>
      </w:r>
    </w:p>
    <w:p>
      <w:pPr>
        <w:spacing w:before="75" w:after="0"/>
      </w:pPr>
      <w:r>
        <w:rPr/>
        <w:t xml:space="preserve">三、产业资本进入</w:t>
      </w:r>
    </w:p>
    <w:p>
      <w:pPr>
        <w:spacing w:before="75" w:after="0"/>
      </w:pPr>
      <w:r>
        <w:rPr>
          <w:b w:val="1"/>
          <w:bCs w:val="1"/>
        </w:rPr>
        <w:t xml:space="preserve">第十八章 未来五年核心趋势</w:t>
      </w:r>
    </w:p>
    <w:p>
      <w:pPr>
        <w:spacing w:before="75" w:after="0"/>
      </w:pPr>
      <w:r>
        <w:rPr/>
        <w:t xml:space="preserve">第一节 渠道融合趋势</w:t>
      </w:r>
    </w:p>
    <w:p>
      <w:pPr>
        <w:spacing w:before="75" w:after="0"/>
      </w:pPr>
      <w:r>
        <w:rPr/>
        <w:t xml:space="preserve">一、线上线下协同</w:t>
      </w:r>
    </w:p>
    <w:p>
      <w:pPr>
        <w:spacing w:before="75" w:after="0"/>
      </w:pPr>
      <w:r>
        <w:rPr/>
        <w:t xml:space="preserve">二、场景化销售</w:t>
      </w:r>
    </w:p>
    <w:p>
      <w:pPr>
        <w:spacing w:before="75" w:after="0"/>
      </w:pPr>
      <w:r>
        <w:rPr/>
        <w:t xml:space="preserve">三、全渠道管理</w:t>
      </w:r>
    </w:p>
    <w:p>
      <w:pPr>
        <w:spacing w:before="75" w:after="0"/>
      </w:pPr>
      <w:r>
        <w:rPr/>
        <w:t xml:space="preserve">第二节 服务升级方向</w:t>
      </w:r>
    </w:p>
    <w:p>
      <w:pPr>
        <w:spacing w:before="75" w:after="0"/>
      </w:pPr>
      <w:r>
        <w:rPr/>
        <w:t xml:space="preserve">一、买方投顾转型</w:t>
      </w:r>
    </w:p>
    <w:p>
      <w:pPr>
        <w:spacing w:before="75" w:after="0"/>
      </w:pPr>
      <w:r>
        <w:rPr/>
        <w:t xml:space="preserve">二、陪伴式服务</w:t>
      </w:r>
    </w:p>
    <w:p>
      <w:pPr>
        <w:spacing w:before="75" w:after="0"/>
      </w:pPr>
      <w:r>
        <w:rPr/>
        <w:t xml:space="preserve">三、智能化为辅</w:t>
      </w:r>
    </w:p>
    <w:p>
      <w:pPr>
        <w:spacing w:before="75" w:after="0"/>
      </w:pPr>
      <w:r>
        <w:rPr/>
        <w:t xml:space="preserve">第三节 产品创新前沿</w:t>
      </w:r>
    </w:p>
    <w:p>
      <w:pPr>
        <w:spacing w:before="75" w:after="0"/>
      </w:pPr>
      <w:r>
        <w:rPr/>
        <w:t xml:space="preserve">一、养老产品体系</w:t>
      </w:r>
    </w:p>
    <w:p>
      <w:pPr>
        <w:spacing w:before="75" w:after="0"/>
      </w:pPr>
      <w:r>
        <w:rPr/>
        <w:t xml:space="preserve">二、数字货币相关</w:t>
      </w:r>
    </w:p>
    <w:p>
      <w:pPr>
        <w:spacing w:before="75" w:after="0"/>
      </w:pPr>
      <w:r>
        <w:rPr/>
        <w:t xml:space="preserve">三、元宇宙概念基金</w:t>
      </w:r>
    </w:p>
    <w:p>
      <w:pPr>
        <w:spacing w:before="75" w:after="0"/>
      </w:pPr>
      <w:r>
        <w:rPr>
          <w:b w:val="1"/>
          <w:bCs w:val="1"/>
        </w:rPr>
        <w:t xml:space="preserve">第十九章 战略建议与发展路径</w:t>
      </w:r>
    </w:p>
    <w:p>
      <w:pPr>
        <w:spacing w:before="75" w:after="0"/>
      </w:pPr>
      <w:r>
        <w:rPr/>
        <w:t xml:space="preserve">第一节 销售机构策略</w:t>
      </w:r>
    </w:p>
    <w:p>
      <w:pPr>
        <w:spacing w:before="75" w:after="0"/>
      </w:pPr>
      <w:r>
        <w:rPr/>
        <w:t xml:space="preserve">一、差异化定位</w:t>
      </w:r>
    </w:p>
    <w:p>
      <w:pPr>
        <w:spacing w:before="75" w:after="0"/>
      </w:pPr>
      <w:r>
        <w:rPr/>
        <w:t xml:space="preserve">二、科技投入规划</w:t>
      </w:r>
    </w:p>
    <w:p>
      <w:pPr>
        <w:spacing w:before="75" w:after="0"/>
      </w:pPr>
      <w:r>
        <w:rPr/>
        <w:t xml:space="preserve">三、客户分层经营</w:t>
      </w:r>
    </w:p>
    <w:p>
      <w:pPr>
        <w:spacing w:before="75" w:after="0"/>
      </w:pPr>
      <w:r>
        <w:rPr/>
        <w:t xml:space="preserve">第二节 监管政策建议</w:t>
      </w:r>
    </w:p>
    <w:p>
      <w:pPr>
        <w:spacing w:before="75" w:after="0"/>
      </w:pPr>
      <w:r>
        <w:rPr/>
        <w:t xml:space="preserve">一、创新包容度</w:t>
      </w:r>
    </w:p>
    <w:p>
      <w:pPr>
        <w:spacing w:before="75" w:after="0"/>
      </w:pPr>
      <w:r>
        <w:rPr/>
        <w:t xml:space="preserve">二、风险防控线</w:t>
      </w:r>
    </w:p>
    <w:p>
      <w:pPr>
        <w:spacing w:before="75" w:after="0"/>
      </w:pPr>
      <w:r>
        <w:rPr/>
        <w:t xml:space="preserve">三、国际合作机制</w:t>
      </w:r>
    </w:p>
    <w:p>
      <w:pPr>
        <w:spacing w:before="75" w:after="0"/>
      </w:pPr>
      <w:r>
        <w:rPr/>
        <w:t xml:space="preserve">第三节 投资者教育规划</w:t>
      </w:r>
    </w:p>
    <w:p>
      <w:pPr>
        <w:spacing w:before="75" w:after="0"/>
      </w:pPr>
      <w:r>
        <w:rPr/>
        <w:t xml:space="preserve">一、国民金融素养</w:t>
      </w:r>
    </w:p>
    <w:p>
      <w:pPr>
        <w:spacing w:before="75" w:after="0"/>
      </w:pPr>
      <w:r>
        <w:rPr/>
        <w:t xml:space="preserve">二、生命周期教育</w:t>
      </w:r>
    </w:p>
    <w:p>
      <w:pPr>
        <w:spacing w:before="75" w:after="0"/>
      </w:pPr>
      <w:r>
        <w:rPr/>
        <w:t xml:space="preserve">三、新媒体传播</w:t>
      </w:r>
    </w:p>
    <w:p>
      <w:pPr>
        <w:spacing w:before="75" w:after="0"/>
      </w:pPr>
      <w:r>
        <w:rPr>
          <w:b w:val="1"/>
          <w:bCs w:val="1"/>
        </w:rPr>
        <w:t xml:space="preserve">第二十章 结论与展望</w:t>
      </w:r>
    </w:p>
    <w:p>
      <w:pPr>
        <w:spacing w:before="75" w:after="0"/>
      </w:pPr>
      <w:r>
        <w:rPr/>
        <w:t xml:space="preserve">第一节 主要研究发现</w:t>
      </w:r>
    </w:p>
    <w:p>
      <w:pPr>
        <w:spacing w:before="75" w:after="0"/>
      </w:pPr>
      <w:r>
        <w:rPr/>
        <w:t xml:space="preserve">第二节 行业价值重估</w:t>
      </w:r>
    </w:p>
    <w:p>
      <w:pPr>
        <w:spacing w:before="75" w:after="0"/>
      </w:pPr>
      <w:r>
        <w:rPr/>
        <w:t xml:space="preserve">第三节 长远发展愿景</w:t>
      </w:r>
    </w:p>
    <w:p>
      <w:pPr>
        <w:spacing w:before="75" w:after="0"/>
      </w:pPr>
      <w:r>
        <w:rPr>
          <w:b w:val="1"/>
          <w:bCs w:val="1"/>
        </w:rPr>
        <w:t xml:space="preserve">图表目录</w:t>
      </w:r>
    </w:p>
    <w:p>
      <w:pPr>
        <w:spacing w:before="75" w:after="0"/>
      </w:pPr>
      <w:r>
        <w:rPr/>
        <w:t xml:space="preserve">图表：研究技术路线图</w:t>
      </w:r>
    </w:p>
    <w:p>
      <w:pPr>
        <w:spacing w:before="75" w:after="0"/>
      </w:pPr>
      <w:r>
        <w:rPr/>
        <w:t xml:space="preserve">图表：全球主要市场基金销售渠道占比对比(2024)</w:t>
      </w:r>
    </w:p>
    <w:p>
      <w:pPr>
        <w:spacing w:before="75" w:after="0"/>
      </w:pPr>
      <w:r>
        <w:rPr/>
        <w:t xml:space="preserve">图表：2018-2025年中国个人可投资资产规模及预测</w:t>
      </w:r>
    </w:p>
    <w:p>
      <w:pPr>
        <w:spacing w:before="75" w:after="0"/>
      </w:pPr>
      <w:r>
        <w:rPr/>
        <w:t xml:space="preserve">图表：2021-2026年公募基金销售渠道份额变化</w:t>
      </w:r>
    </w:p>
    <w:p>
      <w:pPr>
        <w:spacing w:before="75" w:after="0"/>
      </w:pPr>
      <w:r>
        <w:rPr/>
        <w:t xml:space="preserve">图表：2026-2031年基金销售规模三种情景预测</w:t>
      </w:r>
    </w:p>
    <w:p>
      <w:pPr>
        <w:spacing w:before="75" w:after="0"/>
      </w:pPr>
      <w:r>
        <w:rPr/>
        <w:t xml:space="preserve">图表：2021-2026年中国基金投资者年龄结构调查</w:t>
      </w:r>
    </w:p>
    <w:p>
      <w:pPr>
        <w:spacing w:before="75" w:after="0"/>
      </w:pPr>
      <w:r>
        <w:rPr/>
        <w:t xml:space="preserve">图表：主要互联网基金销售平台月活用户对比(2025q2)</w:t>
      </w:r>
    </w:p>
    <w:p>
      <w:pPr>
        <w:spacing w:before="75" w:after="0"/>
      </w:pPr>
      <w:r>
        <w:rPr/>
        <w:t xml:space="preserve">图表：智能投顾用户使用满意度调研结果</w:t>
      </w:r>
    </w:p>
    <w:p>
      <w:pPr>
        <w:spacing w:before="75" w:after="0"/>
      </w:pPr>
      <w:r>
        <w:rPr/>
        <w:t xml:space="preserve">图表：2021-2025年公募reits产品规模增长</w:t>
      </w:r>
    </w:p>
    <w:p>
      <w:pPr>
        <w:spacing w:before="75" w:after="0"/>
      </w:pPr>
      <w:r>
        <w:rPr/>
        <w:t xml:space="preserve">图表：2021-2026年基金销售违规处罚案例类型分布</w:t>
      </w:r>
    </w:p>
    <w:p>
      <w:pPr>
        <w:spacing w:before="75" w:after="0"/>
      </w:pPr>
      <w:r>
        <w:rPr/>
        <w:t xml:space="preserve">图表：中国各省份基金销售规模及增速排名(2024)</w:t>
      </w:r>
    </w:p>
    <w:p>
      <w:pPr>
        <w:spacing w:before="75" w:after="0"/>
      </w:pPr>
      <w:r>
        <w:rPr/>
        <w:t xml:space="preserve">图表：获批qdii额度的基金公司产品布局分析</w:t>
      </w:r>
    </w:p>
    <w:p>
      <w:pPr>
        <w:spacing w:before="75" w:after="0"/>
      </w:pPr>
      <w:r>
        <w:rPr/>
        <w:t xml:space="preserve">图表：中美基金销售费率比较(2024)</w:t>
      </w:r>
    </w:p>
    <w:p>
      <w:pPr>
        <w:spacing w:before="75" w:after="0"/>
      </w:pPr>
      <w:r>
        <w:rPr/>
        <w:t xml:space="preserve">图表：基金销售从业者专业资格持有情况</w:t>
      </w:r>
    </w:p>
    <w:p>
      <w:pPr>
        <w:spacing w:before="75" w:after="0"/>
      </w:pPr>
      <w:r>
        <w:rPr/>
        <w:t xml:space="preserve">图表：2021-2026年基金投资者投诉量及处理情况</w:t>
      </w:r>
    </w:p>
    <w:p>
      <w:pPr>
        <w:spacing w:before="75" w:after="0"/>
      </w:pPr>
      <w:r>
        <w:rPr/>
        <w:t xml:space="preserve">图表：esg基金产品规模与业绩表现(2021-2025)</w:t>
      </w:r>
    </w:p>
    <w:p>
      <w:pPr>
        <w:spacing w:before="75" w:after="0"/>
      </w:pPr>
      <w:r>
        <w:rPr/>
        <w:t xml:space="preserve">图表：2023-2025年基金销售行业重大并购案例</w:t>
      </w:r>
    </w:p>
    <w:p>
      <w:pPr>
        <w:spacing w:before="75" w:after="0"/>
      </w:pPr>
      <w:r>
        <w:rPr/>
        <w:t xml:space="preserve">图表：未来五年基金销售渠道融合趋势预测</w:t>
      </w:r>
    </w:p>
    <w:p>
      <w:pPr>
        <w:spacing w:before="75" w:after="0"/>
      </w:pPr>
      <w:r>
        <w:rPr/>
        <w:t xml:space="preserve">图表：不同规模销售机构科技投入占比建议</w:t>
      </w:r>
    </w:p>
    <w:p>
      <w:pPr>
        <w:spacing w:before="75" w:after="0"/>
      </w:pPr>
      <w:r>
        <w:rPr/>
        <w:t xml:space="preserve">图表：中国基金销售行业发展成熟度国际对标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中国基金销售行业市场发展分析及规模预测与战略建议研究报告(2026-2031版)</dc:title>
  <dc:description>中国基金销售行业市场发展分析及规模预测与战略建议研究报告(2026-2031版)</dc:description>
  <dc:subject>中国基金销售行业市场发展分析及规模预测与战略建议研究报告(2026-2031版)</dc:subject>
  <cp:keywords>研究报告</cp:keywords>
  <cp:category>研究报告</cp:category>
  <cp:lastModifiedBy>北京中道泰和信息咨询有限公司</cp:lastModifiedBy>
  <dcterms:created xsi:type="dcterms:W3CDTF">2026-04-08T18:06:10+08:00</dcterms:created>
  <dcterms:modified xsi:type="dcterms:W3CDTF">2026-04-08T18:06:10+08:00</dcterms:modified>
</cp:coreProperties>
</file>

<file path=docProps/custom.xml><?xml version="1.0" encoding="utf-8"?>
<Properties xmlns="http://schemas.openxmlformats.org/officeDocument/2006/custom-properties" xmlns:vt="http://schemas.openxmlformats.org/officeDocument/2006/docPropsVTypes"/>
</file>