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2026-2031年中国eVTOL行业市场深度调研与投资战略规划报告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电动垂直起降飞行器(eVTOL)作为一种新型的航空运输工具，旨在通过电动推进技术和垂直起降能力，为城市空中交通(UAM)提供高效、环保的解决方案。eVTOL 的发展不仅有助于缓解地面交通拥堵，还能减少碳排放，推动航空运输的可持续发展。近年来，随着技术的不断进步和政策的支持，eVTOL 行业正在迅速崛起，成为未来交通领域的重要发展方向。</w:t>
      </w:r>
    </w:p>
    <w:p>
      <w:pPr>
        <w:spacing w:after="150"/>
      </w:pPr>
      <w:r>
        <w:rPr/>
        <w:t xml:space="preserve">当前，eVTOL 行业正处于技术创新和市场探索的关键时期。其核心技术包括电池技术、电机电控系统、飞行控制系统以及安全与可靠性设计。电池技术的突破是 eVTOL 发展的关键，更高的能量密度和更长的续航能力将极大地拓展其应用场景。同时，电机电控系统的高效化和小型化，以及飞行控制系统的智能化和自动化，都是推动 eVTOL 商业化的重要因素。此外，安全与可靠性设计也是 eVTOL 行业发展的重中之重，确保飞行安全是其获得市场认可的基础。随着电池技术的进一步提升，eVTOL 的续航能力和载重能力将显著增强，使其能够满足更多元化的市场需求。同时，智能化飞行控制系统将提高飞行的安全性和效率，降低运营成本。此外，随着基础设施的不断完善和政策的逐步放开，eVTOL 将在城市空中交通、物流配送、紧急救援等多个领域发挥重要作用，为社会经济发展和人们的生活带来更多的便利。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TOL行业研究单位等公布和提供的大量资料。报告对我国eVTOL行业的供需状况、发展现状、子行业发展变化等进行了分析，重点分析了国内外eVTOL行业的发展现状、如何面对行业的发展挑战、行业的发展建议、行业竞争力，以及行业的投资分析和趋势预测等等。报告还综合了eVTOL行业的整体发展动态，对行业在产品方面提供了参考建议和具体解决办法。报告对于eVTOL产品生产企业、经销商、行业管理部门以及拟进入该行业的投资者具有重要的参考价值，对于研究我国eVTOL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研究背景与目标</w:t>
      </w:r>
    </w:p>
    <w:p>
      <w:pPr>
        <w:spacing w:before="75" w:after="0"/>
      </w:pPr>
      <w:r>
        <w:rPr/>
        <w:t xml:space="preserve">第一节 研究意义与行业定位</w:t>
      </w:r>
    </w:p>
    <w:p>
      <w:pPr>
        <w:spacing w:before="75" w:after="0"/>
      </w:pPr>
      <w:r>
        <w:rPr/>
        <w:t xml:space="preserve">一、evtol在智慧交通体系中的战略价值</w:t>
      </w:r>
    </w:p>
    <w:p>
      <w:pPr>
        <w:spacing w:before="75" w:after="0"/>
      </w:pPr>
      <w:r>
        <w:rPr/>
        <w:t xml:space="preserve">二、中国产业升级背景下的创新驱动需求</w:t>
      </w:r>
    </w:p>
    <w:p>
      <w:pPr>
        <w:spacing w:before="75" w:after="0"/>
      </w:pPr>
      <w:r>
        <w:rPr/>
        <w:t xml:space="preserve">三、全球低碳转型对行业的影响分析</w:t>
      </w:r>
    </w:p>
    <w:p>
      <w:pPr>
        <w:spacing w:before="75" w:after="0"/>
      </w:pPr>
      <w:r>
        <w:rPr/>
        <w:t xml:space="preserve">第二节 研究范围与方法论</w:t>
      </w:r>
    </w:p>
    <w:p>
      <w:pPr>
        <w:spacing w:before="75" w:after="0"/>
      </w:pPr>
      <w:r>
        <w:rPr/>
        <w:t xml:space="preserve">一、时空维度界定(2026-2031年)</w:t>
      </w:r>
    </w:p>
    <w:p>
      <w:pPr>
        <w:spacing w:before="75" w:after="0"/>
      </w:pPr>
      <w:r>
        <w:rPr/>
        <w:t xml:space="preserve">二、多学科交叉分析方法</w:t>
      </w:r>
    </w:p>
    <w:p>
      <w:pPr>
        <w:spacing w:before="75" w:after="0"/>
      </w:pPr>
      <w:r>
        <w:rPr/>
        <w:t xml:space="preserve">三、文献综述与模型构建</w:t>
      </w:r>
    </w:p>
    <w:p>
      <w:pPr>
        <w:spacing w:before="75" w:after="0"/>
      </w:pPr>
      <w:r>
        <w:rPr/>
        <w:t xml:space="preserve">第三节 报告结构概述</w:t>
      </w:r>
    </w:p>
    <w:p>
      <w:pPr>
        <w:spacing w:before="75" w:after="0"/>
      </w:pPr>
      <w:r>
        <w:rPr/>
        <w:t xml:space="preserve">一、章节逻辑框架</w:t>
      </w:r>
    </w:p>
    <w:p>
      <w:pPr>
        <w:spacing w:before="75" w:after="0"/>
      </w:pPr>
      <w:r>
        <w:rPr/>
        <w:t xml:space="preserve">二、核心问题导向</w:t>
      </w:r>
    </w:p>
    <w:p>
      <w:pPr>
        <w:spacing w:before="75" w:after="0"/>
      </w:pPr>
      <w:r>
        <w:rPr/>
        <w:t xml:space="preserve">三、创新点提炼</w:t>
      </w:r>
    </w:p>
    <w:p>
      <w:pPr>
        <w:spacing w:before="75" w:after="0"/>
      </w:pPr>
      <w:r>
        <w:rPr>
          <w:b w:val="1"/>
          <w:bCs w:val="1"/>
        </w:rPr>
        <w:t xml:space="preserve">第二章 evtol技术原理与分类体系</w:t>
      </w:r>
    </w:p>
    <w:p>
      <w:pPr>
        <w:spacing w:before="75" w:after="0"/>
      </w:pPr>
      <w:r>
        <w:rPr/>
        <w:t xml:space="preserve">第一节 核心技术架构</w:t>
      </w:r>
    </w:p>
    <w:p>
      <w:pPr>
        <w:spacing w:before="75" w:after="0"/>
      </w:pPr>
      <w:r>
        <w:rPr/>
        <w:t xml:space="preserve">一、垂直起降动力系统原理</w:t>
      </w:r>
    </w:p>
    <w:p>
      <w:pPr>
        <w:spacing w:before="75" w:after="0"/>
      </w:pPr>
      <w:r>
        <w:rPr/>
        <w:t xml:space="preserve">二、能源供给技术路径</w:t>
      </w:r>
    </w:p>
    <w:p>
      <w:pPr>
        <w:spacing w:before="75" w:after="0"/>
      </w:pPr>
      <w:r>
        <w:rPr/>
        <w:t xml:space="preserve">三、自主飞行与控制算法</w:t>
      </w:r>
    </w:p>
    <w:p>
      <w:pPr>
        <w:spacing w:before="75" w:after="0"/>
      </w:pPr>
      <w:r>
        <w:rPr/>
        <w:t xml:space="preserve">第二节 产品类型与应用场景匹配</w:t>
      </w:r>
    </w:p>
    <w:p>
      <w:pPr>
        <w:spacing w:before="75" w:after="0"/>
      </w:pPr>
      <w:r>
        <w:rPr/>
        <w:t xml:space="preserve">一、载人/载货型分类标准</w:t>
      </w:r>
    </w:p>
    <w:p>
      <w:pPr>
        <w:spacing w:before="75" w:after="0"/>
      </w:pPr>
      <w:r>
        <w:rPr/>
        <w:t xml:space="preserve">二、城市空中交通与应急救援场景</w:t>
      </w:r>
    </w:p>
    <w:p>
      <w:pPr>
        <w:spacing w:before="75" w:after="0"/>
      </w:pPr>
      <w:r>
        <w:rPr/>
        <w:t xml:space="preserve">第三节 技术演进趋势与成熟度</w:t>
      </w:r>
    </w:p>
    <w:p>
      <w:pPr>
        <w:spacing w:before="75" w:after="0"/>
      </w:pPr>
      <w:r>
        <w:rPr/>
        <w:t xml:space="preserve">一、轻量化材料突破方向</w:t>
      </w:r>
    </w:p>
    <w:p>
      <w:pPr>
        <w:spacing w:before="75" w:after="0"/>
      </w:pPr>
      <w:r>
        <w:rPr/>
        <w:t xml:space="preserve">二、智能化集成创新</w:t>
      </w:r>
    </w:p>
    <w:p>
      <w:pPr>
        <w:spacing w:before="75" w:after="0"/>
      </w:pPr>
      <w:r>
        <w:rPr/>
        <w:t xml:space="preserve">三、绿色能源适配性</w:t>
      </w:r>
    </w:p>
    <w:p>
      <w:pPr>
        <w:spacing w:before="75" w:after="0"/>
      </w:pPr>
      <w:r>
        <w:rPr/>
        <w:t xml:space="preserve">四、技术成熟度评估模型</w:t>
      </w:r>
    </w:p>
    <w:p>
      <w:pPr>
        <w:spacing w:before="75" w:after="0"/>
      </w:pPr>
      <w:r>
        <w:rPr>
          <w:b w:val="1"/>
          <w:bCs w:val="1"/>
        </w:rPr>
        <w:t xml:space="preserve">第三章 全球evtol行业发展格局</w:t>
      </w:r>
    </w:p>
    <w:p>
      <w:pPr>
        <w:spacing w:before="75" w:after="0"/>
      </w:pPr>
      <w:r>
        <w:rPr/>
        <w:t xml:space="preserve">第一节 国际政策与标准体系</w:t>
      </w:r>
    </w:p>
    <w:p>
      <w:pPr>
        <w:spacing w:before="75" w:after="0"/>
      </w:pPr>
      <w:r>
        <w:rPr/>
        <w:t xml:space="preserve">一、主要国家监管框架对比</w:t>
      </w:r>
    </w:p>
    <w:p>
      <w:pPr>
        <w:spacing w:before="75" w:after="0"/>
      </w:pPr>
      <w:r>
        <w:rPr/>
        <w:t xml:space="preserve">二、国际组织协同机制</w:t>
      </w:r>
    </w:p>
    <w:p>
      <w:pPr>
        <w:spacing w:before="75" w:after="0"/>
      </w:pPr>
      <w:r>
        <w:rPr/>
        <w:t xml:space="preserve">三、适航认证进展</w:t>
      </w:r>
    </w:p>
    <w:p>
      <w:pPr>
        <w:spacing w:before="75" w:after="0"/>
      </w:pPr>
      <w:r>
        <w:rPr/>
        <w:t xml:space="preserve">第二节 区域市场动态</w:t>
      </w:r>
    </w:p>
    <w:p>
      <w:pPr>
        <w:spacing w:before="75" w:after="0"/>
      </w:pPr>
      <w:r>
        <w:rPr/>
        <w:t xml:space="preserve">一、北美创新生态特征</w:t>
      </w:r>
    </w:p>
    <w:p>
      <w:pPr>
        <w:spacing w:before="75" w:after="0"/>
      </w:pPr>
      <w:r>
        <w:rPr/>
        <w:t xml:space="preserve">二、欧洲产业联盟模式</w:t>
      </w:r>
    </w:p>
    <w:p>
      <w:pPr>
        <w:spacing w:before="75" w:after="0"/>
      </w:pPr>
      <w:r>
        <w:rPr/>
        <w:t xml:space="preserve">三、亚太地区竞争态势</w:t>
      </w:r>
    </w:p>
    <w:p>
      <w:pPr>
        <w:spacing w:before="75" w:after="0"/>
      </w:pPr>
      <w:r>
        <w:rPr/>
        <w:t xml:space="preserve">第三节 全球技术路线图</w:t>
      </w:r>
    </w:p>
    <w:p>
      <w:pPr>
        <w:spacing w:before="75" w:after="0"/>
      </w:pPr>
      <w:r>
        <w:rPr/>
        <w:t xml:space="preserve">一、研发投入趋势</w:t>
      </w:r>
    </w:p>
    <w:p>
      <w:pPr>
        <w:spacing w:before="75" w:after="0"/>
      </w:pPr>
      <w:r>
        <w:rPr/>
        <w:t xml:space="preserve">二、专利布局分析</w:t>
      </w:r>
    </w:p>
    <w:p>
      <w:pPr>
        <w:spacing w:before="75" w:after="0"/>
      </w:pPr>
      <w:r>
        <w:rPr/>
        <w:t xml:space="preserve">三、商业化试点案例启示</w:t>
      </w:r>
    </w:p>
    <w:p>
      <w:pPr>
        <w:spacing w:before="75" w:after="0"/>
      </w:pPr>
      <w:r>
        <w:rPr>
          <w:b w:val="1"/>
          <w:bCs w:val="1"/>
        </w:rPr>
        <w:t xml:space="preserve">第四章 中国evtol市场发展环境</w:t>
      </w:r>
    </w:p>
    <w:p>
      <w:pPr>
        <w:spacing w:before="75" w:after="0"/>
      </w:pPr>
      <w:r>
        <w:rPr/>
        <w:t xml:space="preserve">第一节 宏观经济与政策驱动</w:t>
      </w:r>
    </w:p>
    <w:p>
      <w:pPr>
        <w:spacing w:before="75" w:after="0"/>
      </w:pPr>
      <w:r>
        <w:rPr/>
        <w:t xml:space="preserve">一、新基建战略支撑</w:t>
      </w:r>
    </w:p>
    <w:p>
      <w:pPr>
        <w:spacing w:before="75" w:after="0"/>
      </w:pPr>
      <w:r>
        <w:rPr/>
        <w:t xml:space="preserve">二、双碳目标约束</w:t>
      </w:r>
    </w:p>
    <w:p>
      <w:pPr>
        <w:spacing w:before="75" w:after="0"/>
      </w:pPr>
      <w:r>
        <w:rPr/>
        <w:t xml:space="preserve">三、区域协调发展机遇</w:t>
      </w:r>
    </w:p>
    <w:p>
      <w:pPr>
        <w:spacing w:before="75" w:after="0"/>
      </w:pPr>
      <w:r>
        <w:rPr/>
        <w:t xml:space="preserve">第二节 社会需求与人口结构</w:t>
      </w:r>
    </w:p>
    <w:p>
      <w:pPr>
        <w:spacing w:before="75" w:after="0"/>
      </w:pPr>
      <w:r>
        <w:rPr/>
        <w:t xml:space="preserve">一、城市化进程的交通痛点</w:t>
      </w:r>
    </w:p>
    <w:p>
      <w:pPr>
        <w:spacing w:before="75" w:after="0"/>
      </w:pPr>
      <w:r>
        <w:rPr/>
        <w:t xml:space="preserve">二、消费升级与出行习惯变迁</w:t>
      </w:r>
    </w:p>
    <w:p>
      <w:pPr>
        <w:spacing w:before="75" w:after="0"/>
      </w:pPr>
      <w:r>
        <w:rPr/>
        <w:t xml:space="preserve">三、老龄化社会应急需求</w:t>
      </w:r>
    </w:p>
    <w:p>
      <w:pPr>
        <w:spacing w:before="75" w:after="0"/>
      </w:pPr>
      <w:r>
        <w:rPr/>
        <w:t xml:space="preserve">第三节 技术基础与创新生态</w:t>
      </w:r>
    </w:p>
    <w:p>
      <w:pPr>
        <w:spacing w:before="75" w:after="0"/>
      </w:pPr>
      <w:r>
        <w:rPr/>
        <w:t xml:space="preserve">一、航空产业链成熟度</w:t>
      </w:r>
    </w:p>
    <w:p>
      <w:pPr>
        <w:spacing w:before="75" w:after="0"/>
      </w:pPr>
      <w:r>
        <w:rPr/>
        <w:t xml:space="preserve">二、高校科研合作网络</w:t>
      </w:r>
    </w:p>
    <w:p>
      <w:pPr>
        <w:spacing w:before="75" w:after="0"/>
      </w:pPr>
      <w:r>
        <w:rPr/>
        <w:t xml:space="preserve">三、创新孵化平台评估</w:t>
      </w:r>
    </w:p>
    <w:p>
      <w:pPr>
        <w:spacing w:before="75" w:after="0"/>
      </w:pPr>
      <w:r>
        <w:rPr>
          <w:b w:val="1"/>
          <w:bCs w:val="1"/>
        </w:rPr>
        <w:t xml:space="preserve">第五章 中国evtol市场规模与增长预测</w:t>
      </w:r>
    </w:p>
    <w:p>
      <w:pPr>
        <w:spacing w:before="75" w:after="0"/>
      </w:pPr>
      <w:r>
        <w:rPr/>
        <w:t xml:space="preserve">第一节 需求侧分析</w:t>
      </w:r>
    </w:p>
    <w:p>
      <w:pPr>
        <w:spacing w:before="75" w:after="0"/>
      </w:pPr>
      <w:r>
        <w:rPr/>
        <w:t xml:space="preserve">一、城市空中交通潜在用户规模</w:t>
      </w:r>
    </w:p>
    <w:p>
      <w:pPr>
        <w:spacing w:before="75" w:after="0"/>
      </w:pPr>
      <w:r>
        <w:rPr/>
        <w:t xml:space="preserve">二、物流与医疗应用市场容量</w:t>
      </w:r>
    </w:p>
    <w:p>
      <w:pPr>
        <w:spacing w:before="75" w:after="0"/>
      </w:pPr>
      <w:r>
        <w:rPr/>
        <w:t xml:space="preserve">三、军民融合需求前景</w:t>
      </w:r>
    </w:p>
    <w:p>
      <w:pPr>
        <w:spacing w:before="75" w:after="0"/>
      </w:pPr>
      <w:r>
        <w:rPr/>
        <w:t xml:space="preserve">第二节 供给侧动态</w:t>
      </w:r>
    </w:p>
    <w:p>
      <w:pPr>
        <w:spacing w:before="75" w:after="0"/>
      </w:pPr>
      <w:r>
        <w:rPr/>
        <w:t xml:space="preserve">一、产能规划趋势</w:t>
      </w:r>
    </w:p>
    <w:p>
      <w:pPr>
        <w:spacing w:before="75" w:after="0"/>
      </w:pPr>
      <w:r>
        <w:rPr/>
        <w:t xml:space="preserve">二、产业链协同能力</w:t>
      </w:r>
    </w:p>
    <w:p>
      <w:pPr>
        <w:spacing w:before="75" w:after="0"/>
      </w:pPr>
      <w:r>
        <w:rPr/>
        <w:t xml:space="preserve">三、进口替代潜力</w:t>
      </w:r>
    </w:p>
    <w:p>
      <w:pPr>
        <w:spacing w:before="75" w:after="0"/>
      </w:pPr>
      <w:r>
        <w:rPr/>
        <w:t xml:space="preserve">第三节 市场预测模型</w:t>
      </w:r>
    </w:p>
    <w:p>
      <w:pPr>
        <w:spacing w:before="75" w:after="0"/>
      </w:pPr>
      <w:r>
        <w:rPr/>
        <w:t xml:space="preserve">一、复合增长率推演</w:t>
      </w:r>
    </w:p>
    <w:p>
      <w:pPr>
        <w:spacing w:before="75" w:after="0"/>
      </w:pPr>
      <w:r>
        <w:rPr/>
        <w:t xml:space="preserve">二、多场景渗透率测算模型</w:t>
      </w:r>
    </w:p>
    <w:p>
      <w:pPr>
        <w:spacing w:before="75" w:after="0"/>
      </w:pPr>
      <w:r>
        <w:rPr/>
        <w:t xml:space="preserve">三、风险调整机制</w:t>
      </w:r>
    </w:p>
    <w:p>
      <w:pPr>
        <w:spacing w:before="75" w:after="0"/>
      </w:pPr>
      <w:r>
        <w:rPr>
          <w:b w:val="1"/>
          <w:bCs w:val="1"/>
        </w:rPr>
        <w:t xml:space="preserve">第六章 政策法规环境深度解析</w:t>
      </w:r>
    </w:p>
    <w:p>
      <w:pPr>
        <w:spacing w:before="75" w:after="0"/>
      </w:pPr>
      <w:r>
        <w:rPr/>
        <w:t xml:space="preserve">第一节 国家层面政策框架</w:t>
      </w:r>
    </w:p>
    <w:p>
      <w:pPr>
        <w:spacing w:before="75" w:after="0"/>
      </w:pPr>
      <w:r>
        <w:rPr/>
        <w:t xml:space="preserve">一、民航局适航管理规范</w:t>
      </w:r>
    </w:p>
    <w:p>
      <w:pPr>
        <w:spacing w:before="75" w:after="0"/>
      </w:pPr>
      <w:r>
        <w:rPr/>
        <w:t xml:space="preserve">二、空域管理试点政策</w:t>
      </w:r>
    </w:p>
    <w:p>
      <w:pPr>
        <w:spacing w:before="75" w:after="0"/>
      </w:pPr>
      <w:r>
        <w:rPr/>
        <w:t xml:space="preserve">三、产业扶持基金机制</w:t>
      </w:r>
    </w:p>
    <w:p>
      <w:pPr>
        <w:spacing w:before="75" w:after="0"/>
      </w:pPr>
      <w:r>
        <w:rPr/>
        <w:t xml:space="preserve">第二节 地方性法规创新</w:t>
      </w:r>
    </w:p>
    <w:p>
      <w:pPr>
        <w:spacing w:before="75" w:after="0"/>
      </w:pPr>
      <w:r>
        <w:rPr/>
        <w:t xml:space="preserve">一、示范区先行先试经验</w:t>
      </w:r>
    </w:p>
    <w:p>
      <w:pPr>
        <w:spacing w:before="75" w:after="0"/>
      </w:pPr>
      <w:r>
        <w:rPr/>
        <w:t xml:space="preserve">二、城市规划整合路径</w:t>
      </w:r>
    </w:p>
    <w:p>
      <w:pPr>
        <w:spacing w:before="75" w:after="0"/>
      </w:pPr>
      <w:r>
        <w:rPr/>
        <w:t xml:space="preserve">三、安全监管差异化探索</w:t>
      </w:r>
    </w:p>
    <w:p>
      <w:pPr>
        <w:spacing w:before="75" w:after="0"/>
      </w:pPr>
      <w:r>
        <w:rPr/>
        <w:t xml:space="preserve">第三节 国际规则对接挑战</w:t>
      </w:r>
    </w:p>
    <w:p>
      <w:pPr>
        <w:spacing w:before="75" w:after="0"/>
      </w:pPr>
      <w:r>
        <w:rPr/>
        <w:t xml:space="preserve">一、标准互认壁垒</w:t>
      </w:r>
    </w:p>
    <w:p>
      <w:pPr>
        <w:spacing w:before="75" w:after="0"/>
      </w:pPr>
      <w:r>
        <w:rPr/>
        <w:t xml:space="preserve">二、数据跨境流动问题</w:t>
      </w:r>
    </w:p>
    <w:p>
      <w:pPr>
        <w:spacing w:before="75" w:after="0"/>
      </w:pPr>
      <w:r>
        <w:rPr/>
        <w:t xml:space="preserve">三、伦理与隐私框架</w:t>
      </w:r>
    </w:p>
    <w:p>
      <w:pPr>
        <w:spacing w:before="75" w:after="0"/>
      </w:pPr>
      <w:r>
        <w:rPr>
          <w:b w:val="1"/>
          <w:bCs w:val="1"/>
        </w:rPr>
        <w:t xml:space="preserve">第七章 产业链全景剖析</w:t>
      </w:r>
    </w:p>
    <w:p>
      <w:pPr>
        <w:spacing w:before="75" w:after="0"/>
      </w:pPr>
      <w:r>
        <w:rPr/>
        <w:t xml:space="preserve">第一节 上游供应链</w:t>
      </w:r>
    </w:p>
    <w:p>
      <w:pPr>
        <w:spacing w:before="75" w:after="0"/>
      </w:pPr>
      <w:r>
        <w:rPr/>
        <w:t xml:space="preserve">一、电池与电机关键技术</w:t>
      </w:r>
    </w:p>
    <w:p>
      <w:pPr>
        <w:spacing w:before="75" w:after="0"/>
      </w:pPr>
      <w:r>
        <w:rPr/>
        <w:t xml:space="preserve">二、复合材料供应生态</w:t>
      </w:r>
    </w:p>
    <w:p>
      <w:pPr>
        <w:spacing w:before="75" w:after="0"/>
      </w:pPr>
      <w:r>
        <w:rPr/>
        <w:t xml:space="preserve">三、传感器与芯片国产化率</w:t>
      </w:r>
    </w:p>
    <w:p>
      <w:pPr>
        <w:spacing w:before="75" w:after="0"/>
      </w:pPr>
      <w:r>
        <w:rPr/>
        <w:t xml:space="preserve">第二节 中游制造与集成</w:t>
      </w:r>
    </w:p>
    <w:p>
      <w:pPr>
        <w:spacing w:before="75" w:after="0"/>
      </w:pPr>
      <w:r>
        <w:rPr/>
        <w:t xml:space="preserve">一、整机设计与总装流程</w:t>
      </w:r>
    </w:p>
    <w:p>
      <w:pPr>
        <w:spacing w:before="75" w:after="0"/>
      </w:pPr>
      <w:r>
        <w:rPr/>
        <w:t xml:space="preserve">二、系统集成创新模式</w:t>
      </w:r>
    </w:p>
    <w:p>
      <w:pPr>
        <w:spacing w:before="75" w:after="0"/>
      </w:pPr>
      <w:r>
        <w:rPr/>
        <w:t xml:space="preserve">三、智能制造转型路径</w:t>
      </w:r>
    </w:p>
    <w:p>
      <w:pPr>
        <w:spacing w:before="75" w:after="0"/>
      </w:pPr>
      <w:r>
        <w:rPr/>
        <w:t xml:space="preserve">第三节 下游应用与服务</w:t>
      </w:r>
    </w:p>
    <w:p>
      <w:pPr>
        <w:spacing w:before="75" w:after="0"/>
      </w:pPr>
      <w:r>
        <w:rPr/>
        <w:t xml:space="preserve">一、运营平台商业模式</w:t>
      </w:r>
    </w:p>
    <w:p>
      <w:pPr>
        <w:spacing w:before="75" w:after="0"/>
      </w:pPr>
      <w:r>
        <w:rPr/>
        <w:t xml:space="preserve">二、维护保障体系构建</w:t>
      </w:r>
    </w:p>
    <w:p>
      <w:pPr>
        <w:spacing w:before="75" w:after="0"/>
      </w:pPr>
      <w:r>
        <w:rPr/>
        <w:t xml:space="preserve">三、用户服务生态建设</w:t>
      </w:r>
    </w:p>
    <w:p>
      <w:pPr>
        <w:spacing w:before="75" w:after="0"/>
      </w:pPr>
      <w:r>
        <w:rPr>
          <w:b w:val="1"/>
          <w:bCs w:val="1"/>
        </w:rPr>
        <w:t xml:space="preserve">第八章 关键技术挑战与突破路径</w:t>
      </w:r>
    </w:p>
    <w:p>
      <w:pPr>
        <w:spacing w:before="75" w:after="0"/>
      </w:pPr>
      <w:r>
        <w:rPr/>
        <w:t xml:space="preserve">第一节 核心技术瓶颈</w:t>
      </w:r>
    </w:p>
    <w:p>
      <w:pPr>
        <w:spacing w:before="75" w:after="0"/>
      </w:pPr>
      <w:r>
        <w:rPr/>
        <w:t xml:space="preserve">一、能源密度与续航限制</w:t>
      </w:r>
    </w:p>
    <w:p>
      <w:pPr>
        <w:spacing w:before="75" w:after="0"/>
      </w:pPr>
      <w:r>
        <w:rPr/>
        <w:t xml:space="preserve">二、噪音控制技术难点</w:t>
      </w:r>
    </w:p>
    <w:p>
      <w:pPr>
        <w:spacing w:before="75" w:after="0"/>
      </w:pPr>
      <w:r>
        <w:rPr/>
        <w:t xml:space="preserve">三、极端天气适应性</w:t>
      </w:r>
    </w:p>
    <w:p>
      <w:pPr>
        <w:spacing w:before="75" w:after="0"/>
      </w:pPr>
      <w:r>
        <w:rPr/>
        <w:t xml:space="preserve">第二节 研发创新机制</w:t>
      </w:r>
    </w:p>
    <w:p>
      <w:pPr>
        <w:spacing w:before="75" w:after="0"/>
      </w:pPr>
      <w:r>
        <w:rPr/>
        <w:t xml:space="preserve">一、跨学科协作平台</w:t>
      </w:r>
    </w:p>
    <w:p>
      <w:pPr>
        <w:spacing w:before="75" w:after="0"/>
      </w:pPr>
      <w:r>
        <w:rPr/>
        <w:t xml:space="preserve">二、开放式创新实验</w:t>
      </w:r>
    </w:p>
    <w:p>
      <w:pPr>
        <w:spacing w:before="75" w:after="0"/>
      </w:pPr>
      <w:r>
        <w:rPr/>
        <w:t xml:space="preserve">三、知识产权保护策略</w:t>
      </w:r>
    </w:p>
    <w:p>
      <w:pPr>
        <w:spacing w:before="75" w:after="0"/>
      </w:pPr>
      <w:r>
        <w:rPr/>
        <w:t xml:space="preserve">第三节 技术路线优化</w:t>
      </w:r>
    </w:p>
    <w:p>
      <w:pPr>
        <w:spacing w:before="75" w:after="0"/>
      </w:pPr>
      <w:r>
        <w:rPr/>
        <w:t xml:space="preserve">一、渐进式迭代策略</w:t>
      </w:r>
    </w:p>
    <w:p>
      <w:pPr>
        <w:spacing w:before="75" w:after="0"/>
      </w:pPr>
      <w:r>
        <w:rPr/>
        <w:t xml:space="preserve">二、颠覆性技术预判</w:t>
      </w:r>
    </w:p>
    <w:p>
      <w:pPr>
        <w:spacing w:before="75" w:after="0"/>
      </w:pPr>
      <w:r>
        <w:rPr/>
        <w:t xml:space="preserve">三、国际对标与差距分析</w:t>
      </w:r>
    </w:p>
    <w:p>
      <w:pPr>
        <w:spacing w:before="75" w:after="0"/>
      </w:pPr>
      <w:r>
        <w:rPr>
          <w:b w:val="1"/>
          <w:bCs w:val="1"/>
        </w:rPr>
        <w:t xml:space="preserve">第九章 应用场景创新与实践</w:t>
      </w:r>
    </w:p>
    <w:p>
      <w:pPr>
        <w:spacing w:before="75" w:after="0"/>
      </w:pPr>
      <w:r>
        <w:rPr/>
        <w:t xml:space="preserve">第一节 城市空中交通</w:t>
      </w:r>
    </w:p>
    <w:p>
      <w:pPr>
        <w:spacing w:before="75" w:after="0"/>
      </w:pPr>
      <w:r>
        <w:rPr/>
        <w:t xml:space="preserve">一、通勤与旅游场景</w:t>
      </w:r>
    </w:p>
    <w:p>
      <w:pPr>
        <w:spacing w:before="75" w:after="0"/>
      </w:pPr>
      <w:r>
        <w:rPr/>
        <w:t xml:space="preserve">二、枢纽接驳网络</w:t>
      </w:r>
    </w:p>
    <w:p>
      <w:pPr>
        <w:spacing w:before="75" w:after="0"/>
      </w:pPr>
      <w:r>
        <w:rPr/>
        <w:t xml:space="preserve">三、低空物流配送</w:t>
      </w:r>
    </w:p>
    <w:p>
      <w:pPr>
        <w:spacing w:before="75" w:after="0"/>
      </w:pPr>
      <w:r>
        <w:rPr/>
        <w:t xml:space="preserve">第二节 应急救援与公共安全</w:t>
      </w:r>
    </w:p>
    <w:p>
      <w:pPr>
        <w:spacing w:before="75" w:after="0"/>
      </w:pPr>
      <w:r>
        <w:rPr/>
        <w:t xml:space="preserve">一、灾害快速响应能力</w:t>
      </w:r>
    </w:p>
    <w:p>
      <w:pPr>
        <w:spacing w:before="75" w:after="0"/>
      </w:pPr>
      <w:r>
        <w:rPr/>
        <w:t xml:space="preserve">二、医疗急救物资运输</w:t>
      </w:r>
    </w:p>
    <w:p>
      <w:pPr>
        <w:spacing w:before="75" w:after="0"/>
      </w:pPr>
      <w:r>
        <w:rPr/>
        <w:t xml:space="preserve">三、公共安全巡逻应用</w:t>
      </w:r>
    </w:p>
    <w:p>
      <w:pPr>
        <w:spacing w:before="75" w:after="0"/>
      </w:pPr>
      <w:r>
        <w:rPr/>
        <w:t xml:space="preserve">第三节 新兴场景拓展</w:t>
      </w:r>
    </w:p>
    <w:p>
      <w:pPr>
        <w:spacing w:before="75" w:after="0"/>
      </w:pPr>
      <w:r>
        <w:rPr/>
        <w:t xml:space="preserve">一、农业与工业巡检</w:t>
      </w:r>
    </w:p>
    <w:p>
      <w:pPr>
        <w:spacing w:before="75" w:after="0"/>
      </w:pPr>
      <w:r>
        <w:rPr/>
        <w:t xml:space="preserve">二、智慧城市集成</w:t>
      </w:r>
    </w:p>
    <w:p>
      <w:pPr>
        <w:spacing w:before="75" w:after="0"/>
      </w:pPr>
      <w:r>
        <w:rPr/>
        <w:t xml:space="preserve">三、高端旅游与娱乐创新</w:t>
      </w:r>
    </w:p>
    <w:p>
      <w:pPr>
        <w:spacing w:before="75" w:after="0"/>
      </w:pPr>
      <w:r>
        <w:rPr>
          <w:b w:val="1"/>
          <w:bCs w:val="1"/>
        </w:rPr>
        <w:t xml:space="preserve">第十章 基础设施支撑体系</w:t>
      </w:r>
    </w:p>
    <w:p>
      <w:pPr>
        <w:spacing w:before="75" w:after="0"/>
      </w:pPr>
      <w:r>
        <w:rPr/>
        <w:t xml:space="preserve">第一节 起降场网络规划</w:t>
      </w:r>
    </w:p>
    <w:p>
      <w:pPr>
        <w:spacing w:before="75" w:after="0"/>
      </w:pPr>
      <w:r>
        <w:rPr/>
        <w:t xml:space="preserve">一、城市垂直起降场布局</w:t>
      </w:r>
    </w:p>
    <w:p>
      <w:pPr>
        <w:spacing w:before="75" w:after="0"/>
      </w:pPr>
      <w:r>
        <w:rPr/>
        <w:t xml:space="preserve">二、多式联运枢纽整合</w:t>
      </w:r>
    </w:p>
    <w:p>
      <w:pPr>
        <w:spacing w:before="75" w:after="0"/>
      </w:pPr>
      <w:r>
        <w:rPr/>
        <w:t xml:space="preserve">三、偏远地区覆盖策略</w:t>
      </w:r>
    </w:p>
    <w:p>
      <w:pPr>
        <w:spacing w:before="75" w:after="0"/>
      </w:pPr>
      <w:r>
        <w:rPr/>
        <w:t xml:space="preserve">第二节 空域管理技术</w:t>
      </w:r>
    </w:p>
    <w:p>
      <w:pPr>
        <w:spacing w:before="75" w:after="0"/>
      </w:pPr>
      <w:r>
        <w:rPr/>
        <w:t xml:space="preserve">一、utm系统架构</w:t>
      </w:r>
    </w:p>
    <w:p>
      <w:pPr>
        <w:spacing w:before="75" w:after="0"/>
      </w:pPr>
      <w:r>
        <w:rPr/>
        <w:t xml:space="preserve">二、动态空域划分技术</w:t>
      </w:r>
    </w:p>
    <w:p>
      <w:pPr>
        <w:spacing w:before="75" w:after="0"/>
      </w:pPr>
      <w:r>
        <w:rPr/>
        <w:t xml:space="preserve">三、通信导航与监视设施</w:t>
      </w:r>
    </w:p>
    <w:p>
      <w:pPr>
        <w:spacing w:before="75" w:after="0"/>
      </w:pPr>
      <w:r>
        <w:rPr/>
        <w:t xml:space="preserve">第三节 能源补给网络</w:t>
      </w:r>
    </w:p>
    <w:p>
      <w:pPr>
        <w:spacing w:before="75" w:after="0"/>
      </w:pPr>
      <w:r>
        <w:rPr/>
        <w:t xml:space="preserve">一、充电/换电设施标准</w:t>
      </w:r>
    </w:p>
    <w:p>
      <w:pPr>
        <w:spacing w:before="75" w:after="0"/>
      </w:pPr>
      <w:r>
        <w:rPr/>
        <w:t xml:space="preserve">二、氢能补给站试点</w:t>
      </w:r>
    </w:p>
    <w:p>
      <w:pPr>
        <w:spacing w:before="75" w:after="0"/>
      </w:pPr>
      <w:r>
        <w:rPr/>
        <w:t xml:space="preserve">三、分布式能源整合</w:t>
      </w:r>
    </w:p>
    <w:p>
      <w:pPr>
        <w:spacing w:before="75" w:after="0"/>
      </w:pPr>
      <w:r>
        <w:rPr>
          <w:b w:val="1"/>
          <w:bCs w:val="1"/>
        </w:rPr>
        <w:t xml:space="preserve">第十一章 安全与风险管理</w:t>
      </w:r>
    </w:p>
    <w:p>
      <w:pPr>
        <w:spacing w:before="75" w:after="0"/>
      </w:pPr>
      <w:r>
        <w:rPr/>
        <w:t xml:space="preserve">第一节 飞行安全框架</w:t>
      </w:r>
    </w:p>
    <w:p>
      <w:pPr>
        <w:spacing w:before="75" w:after="0"/>
      </w:pPr>
      <w:r>
        <w:rPr/>
        <w:t xml:space="preserve">一、适航认证体系</w:t>
      </w:r>
    </w:p>
    <w:p>
      <w:pPr>
        <w:spacing w:before="75" w:after="0"/>
      </w:pPr>
      <w:r>
        <w:rPr/>
        <w:t xml:space="preserve">二、事故预防与调查机制</w:t>
      </w:r>
    </w:p>
    <w:p>
      <w:pPr>
        <w:spacing w:before="75" w:after="0"/>
      </w:pPr>
      <w:r>
        <w:rPr/>
        <w:t xml:space="preserve">三、人为因素控制</w:t>
      </w:r>
    </w:p>
    <w:p>
      <w:pPr>
        <w:spacing w:before="75" w:after="0"/>
      </w:pPr>
      <w:r>
        <w:rPr/>
        <w:t xml:space="preserve">第二节 网络安全挑战</w:t>
      </w:r>
    </w:p>
    <w:p>
      <w:pPr>
        <w:spacing w:before="75" w:after="0"/>
      </w:pPr>
      <w:r>
        <w:rPr/>
        <w:t xml:space="preserve">一、数据加密与防护</w:t>
      </w:r>
    </w:p>
    <w:p>
      <w:pPr>
        <w:spacing w:before="75" w:after="0"/>
      </w:pPr>
      <w:r>
        <w:rPr/>
        <w:t xml:space="preserve">二、网络攻击应对策略</w:t>
      </w:r>
    </w:p>
    <w:p>
      <w:pPr>
        <w:spacing w:before="75" w:after="0"/>
      </w:pPr>
      <w:r>
        <w:rPr/>
        <w:t xml:space="preserve">三、系统冗余设计</w:t>
      </w:r>
    </w:p>
    <w:p>
      <w:pPr>
        <w:spacing w:before="75" w:after="0"/>
      </w:pPr>
      <w:r>
        <w:rPr/>
        <w:t xml:space="preserve">第三节 社会风险治理</w:t>
      </w:r>
    </w:p>
    <w:p>
      <w:pPr>
        <w:spacing w:before="75" w:after="0"/>
      </w:pPr>
      <w:r>
        <w:rPr/>
        <w:t xml:space="preserve">一、公众接受度提升路径</w:t>
      </w:r>
    </w:p>
    <w:p>
      <w:pPr>
        <w:spacing w:before="75" w:after="0"/>
      </w:pPr>
      <w:r>
        <w:rPr/>
        <w:t xml:space="preserve">二、隐私保护法规合规</w:t>
      </w:r>
    </w:p>
    <w:p>
      <w:pPr>
        <w:spacing w:before="75" w:after="0"/>
      </w:pPr>
      <w:r>
        <w:rPr/>
        <w:t xml:space="preserve">三、应急响应预案体系</w:t>
      </w:r>
    </w:p>
    <w:p>
      <w:pPr>
        <w:spacing w:before="75" w:after="0"/>
      </w:pPr>
      <w:r>
        <w:rPr>
          <w:b w:val="1"/>
          <w:bCs w:val="1"/>
        </w:rPr>
        <w:t xml:space="preserve">第十二章 环境影响与可持续发展</w:t>
      </w:r>
    </w:p>
    <w:p>
      <w:pPr>
        <w:spacing w:before="75" w:after="0"/>
      </w:pPr>
      <w:r>
        <w:rPr/>
        <w:t xml:space="preserve">第一节 碳排放评估</w:t>
      </w:r>
    </w:p>
    <w:p>
      <w:pPr>
        <w:spacing w:before="75" w:after="0"/>
      </w:pPr>
      <w:r>
        <w:rPr/>
        <w:t xml:space="preserve">一、全生命周期碳足迹分析</w:t>
      </w:r>
    </w:p>
    <w:p>
      <w:pPr>
        <w:spacing w:before="75" w:after="0"/>
      </w:pPr>
      <w:r>
        <w:rPr/>
        <w:t xml:space="preserve">二、与传统交通方式对比</w:t>
      </w:r>
    </w:p>
    <w:p>
      <w:pPr>
        <w:spacing w:before="75" w:after="0"/>
      </w:pPr>
      <w:r>
        <w:rPr/>
        <w:t xml:space="preserve">三、碳中和实现路径</w:t>
      </w:r>
    </w:p>
    <w:p>
      <w:pPr>
        <w:spacing w:before="75" w:after="0"/>
      </w:pPr>
      <w:r>
        <w:rPr/>
        <w:t xml:space="preserve">第二节 噪音与生态影响</w:t>
      </w:r>
    </w:p>
    <w:p>
      <w:pPr>
        <w:spacing w:before="75" w:after="0"/>
      </w:pPr>
      <w:r>
        <w:rPr/>
        <w:t xml:space="preserve">一、城市噪音管控标准</w:t>
      </w:r>
    </w:p>
    <w:p>
      <w:pPr>
        <w:spacing w:before="75" w:after="0"/>
      </w:pPr>
      <w:r>
        <w:rPr/>
        <w:t xml:space="preserve">二、对野生动物潜在影响</w:t>
      </w:r>
    </w:p>
    <w:p>
      <w:pPr>
        <w:spacing w:before="75" w:after="0"/>
      </w:pPr>
      <w:r>
        <w:rPr/>
        <w:t xml:space="preserve">三、土地利用优化</w:t>
      </w:r>
    </w:p>
    <w:p>
      <w:pPr>
        <w:spacing w:before="75" w:after="0"/>
      </w:pPr>
      <w:r>
        <w:rPr/>
        <w:t xml:space="preserve">第三节 绿色技术融合</w:t>
      </w:r>
    </w:p>
    <w:p>
      <w:pPr>
        <w:spacing w:before="75" w:after="0"/>
      </w:pPr>
      <w:r>
        <w:rPr/>
        <w:t xml:space="preserve">一、可再生能源应用</w:t>
      </w:r>
    </w:p>
    <w:p>
      <w:pPr>
        <w:spacing w:before="75" w:after="0"/>
      </w:pPr>
      <w:r>
        <w:rPr/>
        <w:t xml:space="preserve">二、材料回收与循环利用</w:t>
      </w:r>
    </w:p>
    <w:p>
      <w:pPr>
        <w:spacing w:before="75" w:after="0"/>
      </w:pPr>
      <w:r>
        <w:rPr/>
        <w:t xml:space="preserve">三、esg管理标准整合</w:t>
      </w:r>
    </w:p>
    <w:p>
      <w:pPr>
        <w:spacing w:before="75" w:after="0"/>
      </w:pPr>
      <w:r>
        <w:rPr>
          <w:b w:val="1"/>
          <w:bCs w:val="1"/>
        </w:rPr>
        <w:t xml:space="preserve">第十三章 竞争态势与战略群组</w:t>
      </w:r>
    </w:p>
    <w:p>
      <w:pPr>
        <w:spacing w:before="75" w:after="0"/>
      </w:pPr>
      <w:r>
        <w:rPr/>
        <w:t xml:space="preserve">第一节 行业竞争格局</w:t>
      </w:r>
    </w:p>
    <w:p>
      <w:pPr>
        <w:spacing w:before="75" w:after="0"/>
      </w:pPr>
      <w:r>
        <w:rPr/>
        <w:t xml:space="preserve">一、市场竞争主体类型</w:t>
      </w:r>
    </w:p>
    <w:p>
      <w:pPr>
        <w:spacing w:before="75" w:after="0"/>
      </w:pPr>
      <w:r>
        <w:rPr/>
        <w:t xml:space="preserve">二、市场份额与集中度</w:t>
      </w:r>
    </w:p>
    <w:p>
      <w:pPr>
        <w:spacing w:before="75" w:after="0"/>
      </w:pPr>
      <w:r>
        <w:rPr/>
        <w:t xml:space="preserve">三、竞合关系模式</w:t>
      </w:r>
    </w:p>
    <w:p>
      <w:pPr>
        <w:spacing w:before="75" w:after="0"/>
      </w:pPr>
      <w:r>
        <w:rPr/>
        <w:t xml:space="preserve">第二节 进入壁垒分析</w:t>
      </w:r>
    </w:p>
    <w:p>
      <w:pPr>
        <w:spacing w:before="75" w:after="0"/>
      </w:pPr>
      <w:r>
        <w:rPr/>
        <w:t xml:space="preserve">一、技术与专利壁垒</w:t>
      </w:r>
    </w:p>
    <w:p>
      <w:pPr>
        <w:spacing w:before="75" w:after="0"/>
      </w:pPr>
      <w:r>
        <w:rPr/>
        <w:t xml:space="preserve">二、资本与规模门槛</w:t>
      </w:r>
    </w:p>
    <w:p>
      <w:pPr>
        <w:spacing w:before="75" w:after="0"/>
      </w:pPr>
      <w:r>
        <w:rPr/>
        <w:t xml:space="preserve">三、政策与认证壁垒</w:t>
      </w:r>
    </w:p>
    <w:p>
      <w:pPr>
        <w:spacing w:before="75" w:after="0"/>
      </w:pPr>
      <w:r>
        <w:rPr/>
        <w:t xml:space="preserve">第三节 差异化战略路径</w:t>
      </w:r>
    </w:p>
    <w:p>
      <w:pPr>
        <w:spacing w:before="75" w:after="0"/>
      </w:pPr>
      <w:r>
        <w:rPr/>
        <w:t xml:space="preserve">一、技术领先策略</w:t>
      </w:r>
    </w:p>
    <w:p>
      <w:pPr>
        <w:spacing w:before="75" w:after="0"/>
      </w:pPr>
      <w:r>
        <w:rPr/>
        <w:t xml:space="preserve">二、特定场景聚焦策略</w:t>
      </w:r>
    </w:p>
    <w:p>
      <w:pPr>
        <w:spacing w:before="75" w:after="0"/>
      </w:pPr>
      <w:r>
        <w:rPr/>
        <w:t xml:space="preserve">三、产业生态圈构建策略</w:t>
      </w:r>
    </w:p>
    <w:p>
      <w:pPr>
        <w:spacing w:before="75" w:after="0"/>
      </w:pPr>
      <w:r>
        <w:rPr>
          <w:b w:val="1"/>
          <w:bCs w:val="1"/>
        </w:rPr>
        <w:t xml:space="preserve">第十四章 投资价值与融资模式</w:t>
      </w:r>
    </w:p>
    <w:p>
      <w:pPr>
        <w:spacing w:before="75" w:after="0"/>
      </w:pPr>
      <w:r>
        <w:rPr/>
        <w:t xml:space="preserve">第一节 投资吸引力分析</w:t>
      </w:r>
    </w:p>
    <w:p>
      <w:pPr>
        <w:spacing w:before="75" w:after="0"/>
      </w:pPr>
      <w:r>
        <w:rPr/>
        <w:t xml:space="preserve">一、行业投资回报率预测</w:t>
      </w:r>
    </w:p>
    <w:p>
      <w:pPr>
        <w:spacing w:before="75" w:after="0"/>
      </w:pPr>
      <w:r>
        <w:rPr/>
        <w:t xml:space="preserve">二、风险与收益平衡</w:t>
      </w:r>
    </w:p>
    <w:p>
      <w:pPr>
        <w:spacing w:before="75" w:after="0"/>
      </w:pPr>
      <w:r>
        <w:rPr/>
        <w:t xml:space="preserve">三、政策红利评估</w:t>
      </w:r>
    </w:p>
    <w:p>
      <w:pPr>
        <w:spacing w:before="75" w:after="0"/>
      </w:pPr>
      <w:r>
        <w:rPr/>
        <w:t xml:space="preserve">第二节 融资渠道创新</w:t>
      </w:r>
    </w:p>
    <w:p>
      <w:pPr>
        <w:spacing w:before="75" w:after="0"/>
      </w:pPr>
      <w:r>
        <w:rPr/>
        <w:t xml:space="preserve">一、风险投资与私募股权趋势</w:t>
      </w:r>
    </w:p>
    <w:p>
      <w:pPr>
        <w:spacing w:before="75" w:after="0"/>
      </w:pPr>
      <w:r>
        <w:rPr/>
        <w:t xml:space="preserve">二、政府产业引导基金</w:t>
      </w:r>
    </w:p>
    <w:p>
      <w:pPr>
        <w:spacing w:before="75" w:after="0"/>
      </w:pPr>
      <w:r>
        <w:rPr/>
        <w:t xml:space="preserve">三、绿色金融工具应用</w:t>
      </w:r>
    </w:p>
    <w:p>
      <w:pPr>
        <w:spacing w:before="75" w:after="0"/>
      </w:pPr>
      <w:r>
        <w:rPr/>
        <w:t xml:space="preserve">第三节 投资风险评估</w:t>
      </w:r>
    </w:p>
    <w:p>
      <w:pPr>
        <w:spacing w:before="75" w:after="0"/>
      </w:pPr>
      <w:r>
        <w:rPr/>
        <w:t xml:space="preserve">一、技术迭代与成熟度风险</w:t>
      </w:r>
    </w:p>
    <w:p>
      <w:pPr>
        <w:spacing w:before="75" w:after="0"/>
      </w:pPr>
      <w:r>
        <w:rPr/>
        <w:t xml:space="preserve">二、市场波动性与需求风险</w:t>
      </w:r>
    </w:p>
    <w:p>
      <w:pPr>
        <w:spacing w:before="75" w:after="0"/>
      </w:pPr>
      <w:r>
        <w:rPr/>
        <w:t xml:space="preserve">三、政策与监管不确定性</w:t>
      </w:r>
    </w:p>
    <w:p>
      <w:pPr>
        <w:spacing w:before="75" w:after="0"/>
      </w:pPr>
      <w:r>
        <w:rPr>
          <w:b w:val="1"/>
          <w:bCs w:val="1"/>
        </w:rPr>
        <w:t xml:space="preserve">第十五章 区域发展差异与集群分析</w:t>
      </w:r>
    </w:p>
    <w:p>
      <w:pPr>
        <w:spacing w:before="75" w:after="0"/>
      </w:pPr>
      <w:r>
        <w:rPr/>
        <w:t xml:space="preserve">第一节 东部沿海先行区</w:t>
      </w:r>
    </w:p>
    <w:p>
      <w:pPr>
        <w:spacing w:before="75" w:after="0"/>
      </w:pPr>
      <w:r>
        <w:rPr/>
        <w:t xml:space="preserve">一、长三角产业集群联动</w:t>
      </w:r>
    </w:p>
    <w:p>
      <w:pPr>
        <w:spacing w:before="75" w:after="0"/>
      </w:pPr>
      <w:r>
        <w:rPr/>
        <w:t xml:space="preserve">二、珠三角应用创新试点</w:t>
      </w:r>
    </w:p>
    <w:p>
      <w:pPr>
        <w:spacing w:before="75" w:after="0"/>
      </w:pPr>
      <w:r>
        <w:rPr/>
        <w:t xml:space="preserve">三、京津冀研发协同机制</w:t>
      </w:r>
    </w:p>
    <w:p>
      <w:pPr>
        <w:spacing w:before="75" w:after="0"/>
      </w:pPr>
      <w:r>
        <w:rPr/>
        <w:t xml:space="preserve">第二节 中西部潜力区</w:t>
      </w:r>
    </w:p>
    <w:p>
      <w:pPr>
        <w:spacing w:before="75" w:after="0"/>
      </w:pPr>
      <w:r>
        <w:rPr/>
        <w:t xml:space="preserve">一、成渝经济圈战略布局</w:t>
      </w:r>
    </w:p>
    <w:p>
      <w:pPr>
        <w:spacing w:before="75" w:after="0"/>
      </w:pPr>
      <w:r>
        <w:rPr/>
        <w:t xml:space="preserve">二、中部交通枢纽优势</w:t>
      </w:r>
    </w:p>
    <w:p>
      <w:pPr>
        <w:spacing w:before="75" w:after="0"/>
      </w:pPr>
      <w:r>
        <w:rPr/>
        <w:t xml:space="preserve">三、西部空域资源潜力</w:t>
      </w:r>
    </w:p>
    <w:p>
      <w:pPr>
        <w:spacing w:before="75" w:after="0"/>
      </w:pPr>
      <w:r>
        <w:rPr/>
        <w:t xml:space="preserve">第三节 区域协同发展策略</w:t>
      </w:r>
    </w:p>
    <w:p>
      <w:pPr>
        <w:spacing w:before="75" w:after="0"/>
      </w:pPr>
      <w:r>
        <w:rPr/>
        <w:t xml:space="preserve">一、产业梯度转移路径</w:t>
      </w:r>
    </w:p>
    <w:p>
      <w:pPr>
        <w:spacing w:before="75" w:after="0"/>
      </w:pPr>
      <w:r>
        <w:rPr/>
        <w:t xml:space="preserve">二、差异化政策设计</w:t>
      </w:r>
    </w:p>
    <w:p>
      <w:pPr>
        <w:spacing w:before="75" w:after="0"/>
      </w:pPr>
      <w:r>
        <w:rPr/>
        <w:t xml:space="preserve">三、集群效应最大化</w:t>
      </w:r>
    </w:p>
    <w:p>
      <w:pPr>
        <w:spacing w:before="75" w:after="0"/>
      </w:pPr>
      <w:r>
        <w:rPr>
          <w:b w:val="1"/>
          <w:bCs w:val="1"/>
        </w:rPr>
        <w:t xml:space="preserve">第十六章 创新驱动与研发体系</w:t>
      </w:r>
    </w:p>
    <w:p>
      <w:pPr>
        <w:spacing w:before="75" w:after="0"/>
      </w:pPr>
      <w:r>
        <w:rPr/>
        <w:t xml:space="preserve">第一节 技术创新生态</w:t>
      </w:r>
    </w:p>
    <w:p>
      <w:pPr>
        <w:spacing w:before="75" w:after="0"/>
      </w:pPr>
      <w:r>
        <w:rPr/>
        <w:t xml:space="preserve">一、企业研发投入与模式</w:t>
      </w:r>
    </w:p>
    <w:p>
      <w:pPr>
        <w:spacing w:before="75" w:after="0"/>
      </w:pPr>
      <w:r>
        <w:rPr/>
        <w:t xml:space="preserve">二、国家级科研平台支撑</w:t>
      </w:r>
    </w:p>
    <w:p>
      <w:pPr>
        <w:spacing w:before="75" w:after="0"/>
      </w:pPr>
      <w:r>
        <w:rPr/>
        <w:t xml:space="preserve">三、国际合作网络构建</w:t>
      </w:r>
    </w:p>
    <w:p>
      <w:pPr>
        <w:spacing w:before="75" w:after="0"/>
      </w:pPr>
      <w:r>
        <w:rPr/>
        <w:t xml:space="preserve">第二节 人才战略规划</w:t>
      </w:r>
    </w:p>
    <w:p>
      <w:pPr>
        <w:spacing w:before="75" w:after="0"/>
      </w:pPr>
      <w:r>
        <w:rPr/>
        <w:t xml:space="preserve">一、复合型专业人才培养</w:t>
      </w:r>
    </w:p>
    <w:p>
      <w:pPr>
        <w:spacing w:before="75" w:after="0"/>
      </w:pPr>
      <w:r>
        <w:rPr/>
        <w:t xml:space="preserve">二、跨领域团队建设</w:t>
      </w:r>
    </w:p>
    <w:p>
      <w:pPr>
        <w:spacing w:before="75" w:after="0"/>
      </w:pPr>
      <w:r>
        <w:rPr/>
        <w:t xml:space="preserve">三、创新激励机制设计</w:t>
      </w:r>
    </w:p>
    <w:p>
      <w:pPr>
        <w:spacing w:before="75" w:after="0"/>
      </w:pPr>
      <w:r>
        <w:rPr/>
        <w:t xml:space="preserve">第三节 知识产权布局</w:t>
      </w:r>
    </w:p>
    <w:p>
      <w:pPr>
        <w:spacing w:before="75" w:after="0"/>
      </w:pPr>
      <w:r>
        <w:rPr/>
        <w:t xml:space="preserve">一、专利战略地图分析</w:t>
      </w:r>
    </w:p>
    <w:p>
      <w:pPr>
        <w:spacing w:before="75" w:after="0"/>
      </w:pPr>
      <w:r>
        <w:rPr/>
        <w:t xml:space="preserve">二、技术标准话语权争夺</w:t>
      </w:r>
    </w:p>
    <w:p>
      <w:pPr>
        <w:spacing w:before="75" w:after="0"/>
      </w:pPr>
      <w:r>
        <w:rPr/>
        <w:t xml:space="preserve">三、成果转化效率提升</w:t>
      </w:r>
    </w:p>
    <w:p>
      <w:pPr>
        <w:spacing w:before="75" w:after="0"/>
      </w:pPr>
      <w:r>
        <w:rPr>
          <w:b w:val="1"/>
          <w:bCs w:val="1"/>
        </w:rPr>
        <w:t xml:space="preserve">第十七章 商业模式创新探索</w:t>
      </w:r>
    </w:p>
    <w:p>
      <w:pPr>
        <w:spacing w:before="75" w:after="0"/>
      </w:pPr>
      <w:r>
        <w:rPr/>
        <w:t xml:space="preserve">第一节 运营服务模式</w:t>
      </w:r>
    </w:p>
    <w:p>
      <w:pPr>
        <w:spacing w:before="75" w:after="0"/>
      </w:pPr>
      <w:r>
        <w:rPr/>
        <w:t xml:space="preserve">一、订阅制与租赁服务</w:t>
      </w:r>
    </w:p>
    <w:p>
      <w:pPr>
        <w:spacing w:before="75" w:after="0"/>
      </w:pPr>
      <w:r>
        <w:rPr/>
        <w:t xml:space="preserve">二、平台化运营模式</w:t>
      </w:r>
    </w:p>
    <w:p>
      <w:pPr>
        <w:spacing w:before="75" w:after="0"/>
      </w:pPr>
      <w:r>
        <w:rPr/>
        <w:t xml:space="preserve">三、数据增值服务</w:t>
      </w:r>
    </w:p>
    <w:p>
      <w:pPr>
        <w:spacing w:before="75" w:after="0"/>
      </w:pPr>
      <w:r>
        <w:rPr/>
        <w:t xml:space="preserve">第二节 盈利模式设计</w:t>
      </w:r>
    </w:p>
    <w:p>
      <w:pPr>
        <w:spacing w:before="75" w:after="0"/>
      </w:pPr>
      <w:r>
        <w:rPr/>
        <w:t xml:space="preserve">一、成本结构分析与优化</w:t>
      </w:r>
    </w:p>
    <w:p>
      <w:pPr>
        <w:spacing w:before="75" w:after="0"/>
      </w:pPr>
      <w:r>
        <w:rPr/>
        <w:t xml:space="preserve">二、多元化收入来源设计</w:t>
      </w:r>
    </w:p>
    <w:p>
      <w:pPr>
        <w:spacing w:before="75" w:after="0"/>
      </w:pPr>
      <w:r>
        <w:rPr/>
        <w:t xml:space="preserve">三、产业价值链重构</w:t>
      </w:r>
    </w:p>
    <w:p>
      <w:pPr>
        <w:spacing w:before="75" w:after="0"/>
      </w:pPr>
      <w:r>
        <w:rPr/>
        <w:t xml:space="preserve">第三节 用户生态构建</w:t>
      </w:r>
    </w:p>
    <w:p>
      <w:pPr>
        <w:spacing w:before="75" w:after="0"/>
      </w:pPr>
      <w:r>
        <w:rPr/>
        <w:t xml:space="preserve">一、b2b与b2c模式融合</w:t>
      </w:r>
    </w:p>
    <w:p>
      <w:pPr>
        <w:spacing w:before="75" w:after="0"/>
      </w:pPr>
      <w:r>
        <w:rPr/>
        <w:t xml:space="preserve">二、社区化运营策略</w:t>
      </w:r>
    </w:p>
    <w:p>
      <w:pPr>
        <w:spacing w:before="75" w:after="0"/>
      </w:pPr>
      <w:r>
        <w:rPr/>
        <w:t xml:space="preserve">三、全流程用户体验提升</w:t>
      </w:r>
    </w:p>
    <w:p>
      <w:pPr>
        <w:spacing w:before="75" w:after="0"/>
      </w:pPr>
      <w:r>
        <w:rPr>
          <w:b w:val="1"/>
          <w:bCs w:val="1"/>
        </w:rPr>
        <w:t xml:space="preserve">第十八章 国际合作与全球竞争</w:t>
      </w:r>
    </w:p>
    <w:p>
      <w:pPr>
        <w:spacing w:before="75" w:after="0"/>
      </w:pPr>
      <w:r>
        <w:rPr/>
        <w:t xml:space="preserve">第一节 国际技术合作</w:t>
      </w:r>
    </w:p>
    <w:p>
      <w:pPr>
        <w:spacing w:before="75" w:after="0"/>
      </w:pPr>
      <w:r>
        <w:rPr/>
        <w:t xml:space="preserve">一、联合研发项目模式</w:t>
      </w:r>
    </w:p>
    <w:p>
      <w:pPr>
        <w:spacing w:before="75" w:after="0"/>
      </w:pPr>
      <w:r>
        <w:rPr/>
        <w:t xml:space="preserve">二、技术标准互认进展</w:t>
      </w:r>
    </w:p>
    <w:p>
      <w:pPr>
        <w:spacing w:before="75" w:after="0"/>
      </w:pPr>
      <w:r>
        <w:rPr/>
        <w:t xml:space="preserve">三、技术引进与消化策略</w:t>
      </w:r>
    </w:p>
    <w:p>
      <w:pPr>
        <w:spacing w:before="75" w:after="0"/>
      </w:pPr>
      <w:r>
        <w:rPr/>
        <w:t xml:space="preserve">第二节 出口市场拓展</w:t>
      </w:r>
    </w:p>
    <w:p>
      <w:pPr>
        <w:spacing w:before="75" w:after="0"/>
      </w:pPr>
      <w:r>
        <w:rPr/>
        <w:t xml:space="preserve">一、“一带一路”市场机遇</w:t>
      </w:r>
    </w:p>
    <w:p>
      <w:pPr>
        <w:spacing w:before="75" w:after="0"/>
      </w:pPr>
      <w:r>
        <w:rPr/>
        <w:t xml:space="preserve">二、新兴市场潜力分析</w:t>
      </w:r>
    </w:p>
    <w:p>
      <w:pPr>
        <w:spacing w:before="75" w:after="0"/>
      </w:pPr>
      <w:r>
        <w:rPr/>
        <w:t xml:space="preserve">三、贸易壁垒应对策略</w:t>
      </w:r>
    </w:p>
    <w:p>
      <w:pPr>
        <w:spacing w:before="75" w:after="0"/>
      </w:pPr>
      <w:r>
        <w:rPr/>
        <w:t xml:space="preserve">第三节 全球价值链定位</w:t>
      </w:r>
    </w:p>
    <w:p>
      <w:pPr>
        <w:spacing w:before="75" w:after="0"/>
      </w:pPr>
      <w:r>
        <w:rPr/>
        <w:t xml:space="preserve">一、中国角色演进路径</w:t>
      </w:r>
    </w:p>
    <w:p>
      <w:pPr>
        <w:spacing w:before="75" w:after="0"/>
      </w:pPr>
      <w:r>
        <w:rPr/>
        <w:t xml:space="preserve">二、国际竞争优劣势分析</w:t>
      </w:r>
    </w:p>
    <w:p>
      <w:pPr>
        <w:spacing w:before="75" w:after="0"/>
      </w:pPr>
      <w:r>
        <w:rPr/>
        <w:t xml:space="preserve">三、全球战略联盟构建</w:t>
      </w:r>
    </w:p>
    <w:p>
      <w:pPr>
        <w:spacing w:before="75" w:after="0"/>
      </w:pPr>
      <w:r>
        <w:rPr>
          <w:b w:val="1"/>
          <w:bCs w:val="1"/>
        </w:rPr>
        <w:t xml:space="preserve">第十九章 未来趋势与情景预测</w:t>
      </w:r>
    </w:p>
    <w:p>
      <w:pPr>
        <w:spacing w:before="75" w:after="0"/>
      </w:pPr>
      <w:r>
        <w:rPr/>
        <w:t xml:space="preserve">第一节 技术演进情景</w:t>
      </w:r>
    </w:p>
    <w:p>
      <w:pPr>
        <w:spacing w:before="75" w:after="0"/>
      </w:pPr>
      <w:r>
        <w:rPr/>
        <w:t xml:space="preserve">一、2025年关键技术节点</w:t>
      </w:r>
    </w:p>
    <w:p>
      <w:pPr>
        <w:spacing w:before="75" w:after="0"/>
      </w:pPr>
      <w:r>
        <w:rPr/>
        <w:t xml:space="preserve">二、2030年技术突破路径</w:t>
      </w:r>
    </w:p>
    <w:p>
      <w:pPr>
        <w:spacing w:before="75" w:after="0"/>
      </w:pPr>
      <w:r>
        <w:rPr/>
        <w:t xml:space="preserve">三、颠覆性技术影响预判</w:t>
      </w:r>
    </w:p>
    <w:p>
      <w:pPr>
        <w:spacing w:before="75" w:after="0"/>
      </w:pPr>
      <w:r>
        <w:rPr/>
        <w:t xml:space="preserve">第二节 市场发展情景</w:t>
      </w:r>
    </w:p>
    <w:p>
      <w:pPr>
        <w:spacing w:before="75" w:after="0"/>
      </w:pPr>
      <w:r>
        <w:rPr/>
        <w:t xml:space="preserve">一、乐观/中性/悲观预测模型</w:t>
      </w:r>
    </w:p>
    <w:p>
      <w:pPr>
        <w:spacing w:before="75" w:after="0"/>
      </w:pPr>
      <w:r>
        <w:rPr/>
        <w:t xml:space="preserve">二、主要场景渗透率演化</w:t>
      </w:r>
    </w:p>
    <w:p>
      <w:pPr>
        <w:spacing w:before="75" w:after="0"/>
      </w:pPr>
      <w:r>
        <w:rPr/>
        <w:t xml:space="preserve">三、关键政策驱动变量</w:t>
      </w:r>
    </w:p>
    <w:p>
      <w:pPr>
        <w:spacing w:before="75" w:after="0"/>
      </w:pPr>
      <w:r>
        <w:rPr/>
        <w:t xml:space="preserve">第三节 社会影响前瞻</w:t>
      </w:r>
    </w:p>
    <w:p>
      <w:pPr>
        <w:spacing w:before="75" w:after="0"/>
      </w:pPr>
      <w:r>
        <w:rPr/>
        <w:t xml:space="preserve">一、未来出行生活方式变革</w:t>
      </w:r>
    </w:p>
    <w:p>
      <w:pPr>
        <w:spacing w:before="75" w:after="0"/>
      </w:pPr>
      <w:r>
        <w:rPr/>
        <w:t xml:space="preserve">二、城市空间结构重构</w:t>
      </w:r>
    </w:p>
    <w:p>
      <w:pPr>
        <w:spacing w:before="75" w:after="0"/>
      </w:pPr>
      <w:r>
        <w:rPr/>
        <w:t xml:space="preserve">三、社会伦理与法律范式转变</w:t>
      </w:r>
    </w:p>
    <w:p>
      <w:pPr>
        <w:spacing w:before="75" w:after="0"/>
      </w:pPr>
      <w:r>
        <w:rPr>
          <w:b w:val="1"/>
          <w:bCs w:val="1"/>
        </w:rPr>
        <w:t xml:space="preserve">第二十章 战略规划建议</w:t>
      </w:r>
    </w:p>
    <w:p>
      <w:pPr>
        <w:spacing w:before="75" w:after="0"/>
      </w:pPr>
      <w:r>
        <w:rPr/>
        <w:t xml:space="preserve">第一节 政府层面战略</w:t>
      </w:r>
    </w:p>
    <w:p>
      <w:pPr>
        <w:spacing w:before="75" w:after="0"/>
      </w:pPr>
      <w:r>
        <w:rPr/>
        <w:t xml:space="preserve">一、顶层设计与法律法规优化</w:t>
      </w:r>
    </w:p>
    <w:p>
      <w:pPr>
        <w:spacing w:before="75" w:after="0"/>
      </w:pPr>
      <w:r>
        <w:rPr/>
        <w:t xml:space="preserve">二、监管沙盒与创新应用推进</w:t>
      </w:r>
    </w:p>
    <w:p>
      <w:pPr>
        <w:spacing w:before="75" w:after="0"/>
      </w:pPr>
      <w:r>
        <w:rPr/>
        <w:t xml:space="preserve">三、基础设施先行投资引导</w:t>
      </w:r>
    </w:p>
    <w:p>
      <w:pPr>
        <w:spacing w:before="75" w:after="0"/>
      </w:pPr>
      <w:r>
        <w:rPr/>
        <w:t xml:space="preserve">第二节 企业层面战略</w:t>
      </w:r>
    </w:p>
    <w:p>
      <w:pPr>
        <w:spacing w:before="75" w:after="0"/>
      </w:pPr>
      <w:r>
        <w:rPr/>
        <w:t xml:space="preserve">一、核心技术研发聚焦</w:t>
      </w:r>
    </w:p>
    <w:p>
      <w:pPr>
        <w:spacing w:before="75" w:after="0"/>
      </w:pPr>
      <w:r>
        <w:rPr/>
        <w:t xml:space="preserve">二、产业生态圈合作策略</w:t>
      </w:r>
    </w:p>
    <w:p>
      <w:pPr>
        <w:spacing w:before="75" w:after="0"/>
      </w:pPr>
      <w:r>
        <w:rPr/>
        <w:t xml:space="preserve">三、全面风险管理体系构建</w:t>
      </w:r>
    </w:p>
    <w:p>
      <w:pPr>
        <w:spacing w:before="75" w:after="0"/>
      </w:pPr>
      <w:r>
        <w:rPr/>
        <w:t xml:space="preserve">第三节 行业协同发展</w:t>
      </w:r>
    </w:p>
    <w:p>
      <w:pPr>
        <w:spacing w:before="75" w:after="0"/>
      </w:pPr>
      <w:r>
        <w:rPr/>
        <w:t xml:space="preserve">一、行业协会与产业联盟作用</w:t>
      </w:r>
    </w:p>
    <w:p>
      <w:pPr>
        <w:spacing w:before="75" w:after="0"/>
      </w:pPr>
      <w:r>
        <w:rPr/>
        <w:t xml:space="preserve">二、技术标准制定积极参与</w:t>
      </w:r>
    </w:p>
    <w:p>
      <w:pPr>
        <w:spacing w:before="75" w:after="0"/>
      </w:pPr>
      <w:r>
        <w:rPr/>
        <w:t xml:space="preserve">三、公众认知与教育计划</w:t>
      </w:r>
    </w:p>
    <w:p>
      <w:pPr>
        <w:spacing w:before="75" w:after="0"/>
      </w:pPr>
      <w:r>
        <w:rPr>
          <w:b w:val="1"/>
          <w:bCs w:val="1"/>
        </w:rPr>
        <w:t xml:space="preserve">第二十一章 投资与产业规划建议</w:t>
      </w:r>
    </w:p>
    <w:p>
      <w:pPr>
        <w:spacing w:before="75" w:after="0"/>
      </w:pPr>
      <w:r>
        <w:rPr/>
        <w:t xml:space="preserve">第一节 产业投资地图</w:t>
      </w:r>
    </w:p>
    <w:p>
      <w:pPr>
        <w:spacing w:before="75" w:after="0"/>
      </w:pPr>
      <w:r>
        <w:rPr/>
        <w:t xml:space="preserve">一、高潜力细分领域布局</w:t>
      </w:r>
    </w:p>
    <w:p>
      <w:pPr>
        <w:spacing w:before="75" w:after="0"/>
      </w:pPr>
      <w:r>
        <w:rPr/>
        <w:t xml:space="preserve">二、重点区域投资热点</w:t>
      </w:r>
    </w:p>
    <w:p>
      <w:pPr>
        <w:spacing w:before="75" w:after="0"/>
      </w:pPr>
      <w:r>
        <w:rPr/>
        <w:t xml:space="preserve">三、风险规避策略</w:t>
      </w:r>
    </w:p>
    <w:p>
      <w:pPr>
        <w:spacing w:before="75" w:after="0"/>
      </w:pPr>
      <w:r>
        <w:rPr/>
        <w:t xml:space="preserve">第二节 项目可行性框架</w:t>
      </w:r>
    </w:p>
    <w:p>
      <w:pPr>
        <w:spacing w:before="75" w:after="0"/>
      </w:pPr>
      <w:r>
        <w:rPr/>
        <w:t xml:space="preserve">一、技术可行性评估</w:t>
      </w:r>
    </w:p>
    <w:p>
      <w:pPr>
        <w:spacing w:before="75" w:after="0"/>
      </w:pPr>
      <w:r>
        <w:rPr/>
        <w:t xml:space="preserve">二、经济性分析模型</w:t>
      </w:r>
    </w:p>
    <w:p>
      <w:pPr>
        <w:spacing w:before="75" w:after="0"/>
      </w:pPr>
      <w:r>
        <w:rPr/>
        <w:t xml:space="preserve">三、综合社会效益评价</w:t>
      </w:r>
    </w:p>
    <w:p>
      <w:pPr>
        <w:spacing w:before="75" w:after="0"/>
      </w:pPr>
      <w:r>
        <w:rPr/>
        <w:t xml:space="preserve">第三节 规划实施路径图</w:t>
      </w:r>
    </w:p>
    <w:p>
      <w:pPr>
        <w:spacing w:before="75" w:after="0"/>
      </w:pPr>
      <w:r>
        <w:rPr/>
        <w:t xml:space="preserve">一、短期行动计划(2025-2026)</w:t>
      </w:r>
    </w:p>
    <w:p>
      <w:pPr>
        <w:spacing w:before="75" w:after="0"/>
      </w:pPr>
      <w:r>
        <w:rPr/>
        <w:t xml:space="preserve">二、中期发展目标(2027-2028)</w:t>
      </w:r>
    </w:p>
    <w:p>
      <w:pPr>
        <w:spacing w:before="75" w:after="0"/>
      </w:pPr>
      <w:r>
        <w:rPr/>
        <w:t xml:space="preserve">三、长期战略愿景(2029-2030)</w:t>
      </w:r>
    </w:p>
    <w:p>
      <w:pPr>
        <w:spacing w:before="75" w:after="0"/>
      </w:pPr>
      <w:r>
        <w:rPr>
          <w:b w:val="1"/>
          <w:bCs w:val="1"/>
        </w:rPr>
        <w:t xml:space="preserve">第二十二章 结论与展望</w:t>
      </w:r>
    </w:p>
    <w:p>
      <w:pPr>
        <w:spacing w:before="75" w:after="0"/>
      </w:pPr>
      <w:r>
        <w:rPr/>
        <w:t xml:space="preserve">第一节 核心发现总结</w:t>
      </w:r>
    </w:p>
    <w:p>
      <w:pPr>
        <w:spacing w:before="75" w:after="0"/>
      </w:pPr>
      <w:r>
        <w:rPr/>
        <w:t xml:space="preserve">第二节 研究局限性说明</w:t>
      </w:r>
    </w:p>
    <w:p>
      <w:pPr>
        <w:spacing w:before="75" w:after="0"/>
      </w:pPr>
      <w:r>
        <w:rPr/>
        <w:t xml:space="preserve">第三节 行业未来展望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图表：evtol技术分类与核心系统</w:t>
      </w:r>
    </w:p>
    <w:p>
      <w:pPr>
        <w:spacing w:before="75" w:after="0"/>
      </w:pPr>
      <w:r>
        <w:rPr/>
        <w:t xml:space="preserve">图表：全球evtol政策与试点分布</w:t>
      </w:r>
    </w:p>
    <w:p>
      <w:pPr>
        <w:spacing w:before="75" w:after="0"/>
      </w:pPr>
      <w:r>
        <w:rPr/>
        <w:t xml:space="preserve">图表：中国evtol市场pestel分析</w:t>
      </w:r>
    </w:p>
    <w:p>
      <w:pPr>
        <w:spacing w:before="75" w:after="0"/>
      </w:pPr>
      <w:r>
        <w:rPr/>
        <w:t xml:space="preserve">图表：2026-2031年中国evtol市场规模预测与增长曲线图</w:t>
      </w:r>
    </w:p>
    <w:p>
      <w:pPr>
        <w:spacing w:before="75" w:after="0"/>
      </w:pPr>
      <w:r>
        <w:rPr/>
        <w:t xml:space="preserve">图表：中国低空管理政策演进时间轴</w:t>
      </w:r>
    </w:p>
    <w:p>
      <w:pPr>
        <w:spacing w:before="75" w:after="0"/>
      </w:pPr>
      <w:r>
        <w:rPr/>
        <w:t xml:space="preserve">图表：evtol产业链生态全景图谱</w:t>
      </w:r>
    </w:p>
    <w:p>
      <w:pPr>
        <w:spacing w:before="75" w:after="0"/>
      </w:pPr>
      <w:r>
        <w:rPr/>
        <w:t xml:space="preserve">图表：关键技术瓶颈评估与突破路径</w:t>
      </w:r>
    </w:p>
    <w:p>
      <w:pPr>
        <w:spacing w:before="75" w:after="0"/>
      </w:pPr>
      <w:r>
        <w:rPr/>
        <w:t xml:space="preserve">图表：多应用场景市场潜力与成熟度对比</w:t>
      </w:r>
    </w:p>
    <w:p>
      <w:pPr>
        <w:spacing w:before="75" w:after="0"/>
      </w:pPr>
      <w:r>
        <w:rPr/>
        <w:t xml:space="preserve">图表：起降基础设施与空域网络构想</w:t>
      </w:r>
    </w:p>
    <w:p>
      <w:pPr>
        <w:spacing w:before="75" w:after="0"/>
      </w:pPr>
      <w:r>
        <w:rPr/>
        <w:t xml:space="preserve">图表：飞行安全与风险管理体系框架</w:t>
      </w:r>
    </w:p>
    <w:p>
      <w:pPr>
        <w:spacing w:before="75" w:after="0"/>
      </w:pPr>
      <w:r>
        <w:rPr/>
        <w:t xml:space="preserve">图表：全生命周期环境影响分析</w:t>
      </w:r>
    </w:p>
    <w:p>
      <w:pPr>
        <w:spacing w:before="75" w:after="0"/>
      </w:pPr>
      <w:r>
        <w:rPr/>
        <w:t xml:space="preserve">图表：行业竞争格局与战略群组分析</w:t>
      </w:r>
    </w:p>
    <w:p>
      <w:pPr>
        <w:spacing w:before="75" w:after="0"/>
      </w:pPr>
      <w:r>
        <w:rPr/>
        <w:t xml:space="preserve">图表：投资价值与风险四象限评估</w:t>
      </w:r>
    </w:p>
    <w:p>
      <w:pPr>
        <w:spacing w:before="75" w:after="0"/>
      </w:pPr>
      <w:r>
        <w:rPr/>
        <w:t xml:space="preserve">图表：中国区域产业发展热力与集群</w:t>
      </w:r>
    </w:p>
    <w:p>
      <w:pPr>
        <w:spacing w:before="75" w:after="0"/>
      </w:pPr>
      <w:r>
        <w:rPr/>
        <w:t xml:space="preserve">图表：研发投入-专利产出-创新绩效</w:t>
      </w:r>
    </w:p>
    <w:p>
      <w:pPr>
        <w:spacing w:before="75" w:after="0"/>
      </w:pPr>
      <w:r>
        <w:rPr/>
        <w:t xml:space="preserve">图表：核心商业模式画布与创新</w:t>
      </w:r>
    </w:p>
    <w:p>
      <w:pPr>
        <w:spacing w:before="75" w:after="0"/>
      </w:pPr>
      <w:r>
        <w:rPr/>
        <w:t xml:space="preserve">图表：国际合作网络与竞争</w:t>
      </w:r>
    </w:p>
    <w:p>
      <w:pPr>
        <w:spacing w:before="75" w:after="0"/>
      </w:pPr>
      <w:r>
        <w:rPr/>
        <w:t xml:space="preserve">图表：多情景未来发展路径</w:t>
      </w:r>
    </w:p>
    <w:p>
      <w:pPr>
        <w:spacing w:before="75" w:after="0"/>
      </w:pPr>
      <w:r>
        <w:rPr/>
        <w:t xml:space="preserve">图表：多主体战略规划实施</w:t>
      </w:r>
    </w:p>
    <w:p>
      <w:pPr>
        <w:spacing w:before="75" w:after="0"/>
      </w:pPr>
      <w:r>
        <w:rPr/>
        <w:t xml:space="preserve">图表：产业投资优先级与风险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2026-2031年中国eVTOL行业市场深度调研与投资战略规划报告</dc:title>
  <dc:description>2026-2031年中国eVTOL行业市场深度调研与投资战略规划报告</dc:description>
  <dc:subject>2026-2031年中国eVTOL行业市场深度调研与投资战略规划报告</dc:subject>
  <cp:keywords>研究报告</cp:keywords>
  <cp:category>研究报告</cp:category>
  <cp:lastModifiedBy>北京中道泰和信息咨询有限公司</cp:lastModifiedBy>
  <dcterms:created xsi:type="dcterms:W3CDTF">2026-03-23T11:50:02+08:00</dcterms:created>
  <dcterms:modified xsi:type="dcterms:W3CDTF">2026-03-23T11:50:02+08:00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