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2026-2031年中国商业不动产REITs行业全景调研与发展趋势预测报告</w:t>
      </w:r>
    </w:p>
    <w:p>
      <w:pPr>
        <w:spacing w:after="150"/>
      </w:pPr>
      <w:r>
        <w:rPr>
          <w:b w:val="1"/>
          <w:bCs w:val="1"/>
        </w:rPr>
        <w:t xml:space="preserve">报告简介</w:t>
      </w:r>
    </w:p>
    <w:p>
      <w:pPr>
        <w:spacing w:after="150"/>
      </w:pPr>
      <w:r>
        <w:rPr/>
        <w:t xml:space="preserve">商业不动产REITs是指通过证券化方式将优质商业物业资产转化为可交易的上市金融产品，实现不动产所有权与经营权的分离，为投资者提供稳定分红收益的同时，为原始权益人构筑资产退出与再投资的良性循环。这一金融工具不仅是连接实体经济与资本市场的关键桥梁，更是推动房地产行业从\"开发销售\"向\"持有运营\"转型的核心机制，其本质在于通过专业化管理与规模化运作，提升不动产资产的流动性与估值水平，重塑商业地产的价值实现路径。</w:t>
      </w:r>
    </w:p>
    <w:p>
      <w:pPr>
        <w:spacing w:after="150"/>
      </w:pPr>
      <w:r>
        <w:rPr/>
        <w:t xml:space="preserve">当前，我国商业不动产REITs市场已迈入规范化发展的快车道，呈现出政策体系日趋完善、市场参与度稳步提升、资产类型渐进多元的总体格局。从政策层面看，监管部门持续优化试点规则，明确税收中性原则，简化扩募审批流程，为市场健康发展奠定制度基础。从市场实践观察，消费基础设施、产业园区、仓储物流等资产类型率先破冰，形成示范效应;一批具备专业运营能力的房地产企业、产业资本及基础设施运营商积极布局，通过首发与扩募双轮驱动，构建资产储备与资本循环体系。值得注意的是，商业不动产REITs的底层资产已从单一项目向资产组合演进，运营管理能力成为价值创造的核心要素，市场逐步从\"政策驱动\"转向\"价值驱动\"的新阶段。</w:t>
      </w:r>
    </w:p>
    <w:p>
      <w:pPr>
        <w:spacing w:after="150"/>
      </w:pPr>
      <w:r>
        <w:rPr/>
        <w:t xml:space="preserve">展望2026-2031年，商业不动产REITs行业将呈现四大发展趋势。其一，市场扩容与资产多元化并行，随着试点范围扩大至办公、酒店、长租公寓等全业态商业不动产，市场规模有望实现倍增，资产谱系将更加完整。其二，扩募常态化机制基本确立，已上市REITs将通过持续收购优质资产实现规模扩张，形成\"投资-培育-退出-再投资\"的资本闭环，头部产品流动性与估值溢价显著增强。其三，专业分工与生态协同深化，资产管理人、运营服务商、投资顾问等角色进一步细分的行业生态，将推动全周期专业化管理能力成为核心竞争力。其四，投资者结构持续优化，从散户为主向机构投资者主导转变，保险资金、养老金等长期资本配置比例提升，对产品风险收益特征提出更高要求，倒逼底层资产质量与信息披露标准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不动产REITs行业研究单位等公布和提供的大量资料。报告对我国商业不动产REITs行业的供需状况、发展现状、子行业发展变化等进行了分析，重点分析了国内外商业不动产REITs行业的发展现状、如何面对行业的发展挑战、行业的发展建议、行业竞争力，以及行业的投资分析和趋势预测等等。报告还综合了商业不动产REITs行业的整体发展动态，对行业在产品方面提供了参考建议和具体解决办法。报告对于商业不动产REITs产品生产企业、经销商、行业管理部门以及拟进入该行业的投资者具有重要的参考价值，对于研究我国商业不动产REITs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行业基础范畴与属性界定</w:t>
      </w:r>
    </w:p>
    <w:p>
      <w:pPr>
        <w:spacing w:before="75" w:after="0"/>
      </w:pPr>
      <w:r>
        <w:rPr/>
        <w:t xml:space="preserve">第一节 行业定义与核心要素</w:t>
      </w:r>
    </w:p>
    <w:p>
      <w:pPr>
        <w:spacing w:before="75" w:after="0"/>
      </w:pPr>
      <w:r>
        <w:rPr/>
        <w:t xml:space="preserve">一、法律组织形式与交易结构</w:t>
      </w:r>
    </w:p>
    <w:p>
      <w:pPr>
        <w:spacing w:before="75" w:after="0"/>
      </w:pPr>
      <w:r>
        <w:rPr/>
        <w:t xml:space="preserve">二、商业不动产范畴界定</w:t>
      </w:r>
    </w:p>
    <w:p>
      <w:pPr>
        <w:spacing w:before="75" w:after="0"/>
      </w:pPr>
      <w:r>
        <w:rPr/>
        <w:t xml:space="preserve">三、公募reits与类reits的本质差异与制度演进路径</w:t>
      </w:r>
    </w:p>
    <w:p>
      <w:pPr>
        <w:spacing w:before="75" w:after="0"/>
      </w:pPr>
      <w:r>
        <w:rPr/>
        <w:t xml:space="preserve">第二节 产品分类与特征矩阵</w:t>
      </w:r>
    </w:p>
    <w:p>
      <w:pPr>
        <w:spacing w:before="75" w:after="0"/>
      </w:pPr>
      <w:r>
        <w:rPr/>
        <w:t xml:space="preserve">一、按底层资产类型划分的风险收益特征对比</w:t>
      </w:r>
    </w:p>
    <w:p>
      <w:pPr>
        <w:spacing w:before="75" w:after="0"/>
      </w:pPr>
      <w:r>
        <w:rPr/>
        <w:t xml:space="preserve">二、按收益分配方式的投资者结构差异</w:t>
      </w:r>
    </w:p>
    <w:p>
      <w:pPr>
        <w:spacing w:before="75" w:after="0"/>
      </w:pPr>
      <w:r>
        <w:rPr/>
        <w:t xml:space="preserve">三、按管理模式的分类与治理效率评估</w:t>
      </w:r>
    </w:p>
    <w:p>
      <w:pPr>
        <w:spacing w:before="75" w:after="0"/>
      </w:pPr>
      <w:r>
        <w:rPr/>
        <w:t xml:space="preserve">第三节 行业发展阶段与核心特征</w:t>
      </w:r>
    </w:p>
    <w:p>
      <w:pPr>
        <w:spacing w:before="75" w:after="0"/>
      </w:pPr>
      <w:r>
        <w:rPr/>
        <w:t xml:space="preserve">一、试点期市场规模与数量复盘</w:t>
      </w:r>
    </w:p>
    <w:p>
      <w:pPr>
        <w:spacing w:before="75" w:after="0"/>
      </w:pPr>
      <w:r>
        <w:rPr/>
        <w:t xml:space="preserve">二、从政策驱动向市场驱动转型的关键节点识别</w:t>
      </w:r>
    </w:p>
    <w:p>
      <w:pPr>
        <w:spacing w:before="75" w:after="0"/>
      </w:pPr>
      <w:r>
        <w:rPr/>
        <w:t xml:space="preserve">三、在不动产金融化进程中的战略卡位价值</w:t>
      </w:r>
    </w:p>
    <w:p>
      <w:pPr>
        <w:spacing w:before="75" w:after="0"/>
      </w:pPr>
      <w:r>
        <w:rPr>
          <w:b w:val="1"/>
          <w:bCs w:val="1"/>
        </w:rPr>
        <w:t xml:space="preserve">第二章 全球reits市场复盘与启示</w:t>
      </w:r>
    </w:p>
    <w:p>
      <w:pPr>
        <w:spacing w:before="75" w:after="0"/>
      </w:pPr>
      <w:r>
        <w:rPr/>
        <w:t xml:space="preserve">第一节 全球reits市场规模与结构</w:t>
      </w:r>
    </w:p>
    <w:p>
      <w:pPr>
        <w:spacing w:before="75" w:after="0"/>
      </w:pPr>
      <w:r>
        <w:rPr/>
        <w:t xml:space="preserve">一、全球reits总市值及复合增长率区域对比</w:t>
      </w:r>
    </w:p>
    <w:p>
      <w:pPr>
        <w:spacing w:before="75" w:after="0"/>
      </w:pPr>
      <w:r>
        <w:rPr/>
        <w:t xml:space="preserve">二、不同经济体reits底层资产结构变迁</w:t>
      </w:r>
    </w:p>
    <w:p>
      <w:pPr>
        <w:spacing w:before="75" w:after="0"/>
      </w:pPr>
      <w:r>
        <w:rPr/>
        <w:t xml:space="preserve">三、全球reits股息率与十年期国债利差变化趋势</w:t>
      </w:r>
    </w:p>
    <w:p>
      <w:pPr>
        <w:spacing w:before="75" w:after="0"/>
      </w:pPr>
      <w:r>
        <w:rPr/>
        <w:t xml:space="preserve">第二节 海外成熟市场制度设计</w:t>
      </w:r>
    </w:p>
    <w:p>
      <w:pPr>
        <w:spacing w:before="75" w:after="0"/>
      </w:pPr>
      <w:r>
        <w:rPr/>
        <w:t xml:space="preserve">一、美国reits立法演进对税收透明机制的保障</w:t>
      </w:r>
    </w:p>
    <w:p>
      <w:pPr>
        <w:spacing w:before="75" w:after="0"/>
      </w:pPr>
      <w:r>
        <w:rPr/>
        <w:t xml:space="preserve">二、新加坡reits在跨境资产收购中的制度便利性</w:t>
      </w:r>
    </w:p>
    <w:p>
      <w:pPr>
        <w:spacing w:before="75" w:after="0"/>
      </w:pPr>
      <w:r>
        <w:rPr/>
        <w:t xml:space="preserve">三、香港reits对内地商业不动产估值折让的成因</w:t>
      </w:r>
    </w:p>
    <w:p>
      <w:pPr>
        <w:spacing w:before="75" w:after="0"/>
      </w:pPr>
      <w:r>
        <w:rPr/>
        <w:t xml:space="preserve">第三节 国际资本流动与资产定价</w:t>
      </w:r>
    </w:p>
    <w:p>
      <w:pPr>
        <w:spacing w:before="75" w:after="0"/>
      </w:pPr>
      <w:r>
        <w:rPr/>
        <w:t xml:space="preserve">一、全球低利率环境下reits的避风港属性与资金净流入</w:t>
      </w:r>
    </w:p>
    <w:p>
      <w:pPr>
        <w:spacing w:before="75" w:after="0"/>
      </w:pPr>
      <w:r>
        <w:rPr/>
        <w:t xml:space="preserve">二、esg评级对reits估值溢价的影响权重</w:t>
      </w:r>
    </w:p>
    <w:p>
      <w:pPr>
        <w:spacing w:before="75" w:after="0"/>
      </w:pPr>
      <w:r>
        <w:rPr/>
        <w:t xml:space="preserve">三、疫情期间海外reits股价波动与底层资产经营韧性</w:t>
      </w:r>
    </w:p>
    <w:p>
      <w:pPr>
        <w:spacing w:before="75" w:after="0"/>
      </w:pPr>
      <w:r>
        <w:rPr>
          <w:b w:val="1"/>
          <w:bCs w:val="1"/>
        </w:rPr>
        <w:t xml:space="preserve">第三章 中国宏观环境与产业生态变量</w:t>
      </w:r>
    </w:p>
    <w:p>
      <w:pPr>
        <w:spacing w:before="75" w:after="0"/>
      </w:pPr>
      <w:r>
        <w:rPr/>
        <w:t xml:space="preserve">第一节 经济基本面与利率环境</w:t>
      </w:r>
    </w:p>
    <w:p>
      <w:pPr>
        <w:spacing w:before="75" w:after="0"/>
      </w:pPr>
      <w:r>
        <w:rPr/>
        <w:t xml:space="preserve">一、商业不动产租金回报率与reits股息率锚定关系</w:t>
      </w:r>
    </w:p>
    <w:p>
      <w:pPr>
        <w:spacing w:before="75" w:after="0"/>
      </w:pPr>
      <w:r>
        <w:rPr/>
        <w:t xml:space="preserve">二、利率下行周期对融资成本与投资者要求回报率影响</w:t>
      </w:r>
    </w:p>
    <w:p>
      <w:pPr>
        <w:spacing w:before="75" w:after="0"/>
      </w:pPr>
      <w:r>
        <w:rPr/>
        <w:t xml:space="preserve">三、通胀预期对租金调整机制与抗通胀属性的支撑</w:t>
      </w:r>
    </w:p>
    <w:p>
      <w:pPr>
        <w:spacing w:before="75" w:after="0"/>
      </w:pPr>
      <w:r>
        <w:rPr/>
        <w:t xml:space="preserve">第二节 产业金融政策导向</w:t>
      </w:r>
    </w:p>
    <w:p>
      <w:pPr>
        <w:spacing w:before="75" w:after="0"/>
      </w:pPr>
      <w:r>
        <w:rPr/>
        <w:t xml:space="preserve">一、不动产投资信托基金试点政策持续扩容的预期方向</w:t>
      </w:r>
    </w:p>
    <w:p>
      <w:pPr>
        <w:spacing w:before="75" w:after="0"/>
      </w:pPr>
      <w:r>
        <w:rPr/>
        <w:t xml:space="preserve">二、pre-reits市场培育对原始权益人资产盘活的机制设计</w:t>
      </w:r>
    </w:p>
    <w:p>
      <w:pPr>
        <w:spacing w:before="75" w:after="0"/>
      </w:pPr>
      <w:r>
        <w:rPr/>
        <w:t xml:space="preserve">三、长期资本配置reits的监管约束与激励</w:t>
      </w:r>
    </w:p>
    <w:p>
      <w:pPr>
        <w:spacing w:before="75" w:after="0"/>
      </w:pPr>
      <w:r>
        <w:rPr/>
        <w:t xml:space="preserve">第三节 社会需求与资产盘活</w:t>
      </w:r>
    </w:p>
    <w:p>
      <w:pPr>
        <w:spacing w:before="75" w:after="0"/>
      </w:pPr>
      <w:r>
        <w:rPr/>
        <w:t xml:space="preserve">一、地方政府平台公司存量商业不动产盘活压力</w:t>
      </w:r>
    </w:p>
    <w:p>
      <w:pPr>
        <w:spacing w:before="75" w:after="0"/>
      </w:pPr>
      <w:r>
        <w:rPr/>
        <w:t xml:space="preserve">二、房地产企业商业模式重构</w:t>
      </w:r>
    </w:p>
    <w:p>
      <w:pPr>
        <w:spacing w:before="75" w:after="0"/>
      </w:pPr>
      <w:r>
        <w:rPr/>
        <w:t xml:space="preserve">三、中小投资者通过reits参与商业不动产投资的认知变迁</w:t>
      </w:r>
    </w:p>
    <w:p>
      <w:pPr>
        <w:spacing w:before="75" w:after="0"/>
      </w:pPr>
      <w:r>
        <w:rPr>
          <w:b w:val="1"/>
          <w:bCs w:val="1"/>
        </w:rPr>
        <w:t xml:space="preserve">第四章 商业不动产reits产业链全景解构</w:t>
      </w:r>
    </w:p>
    <w:p>
      <w:pPr>
        <w:spacing w:before="75" w:after="0"/>
      </w:pPr>
      <w:r>
        <w:rPr/>
        <w:t xml:space="preserve">第一节 上游资产供给端</w:t>
      </w:r>
    </w:p>
    <w:p>
      <w:pPr>
        <w:spacing w:before="75" w:after="0"/>
      </w:pPr>
      <w:r>
        <w:rPr/>
        <w:t xml:space="preserve">一、原始权益人资产储备规模与质量分层</w:t>
      </w:r>
    </w:p>
    <w:p>
      <w:pPr>
        <w:spacing w:before="75" w:after="0"/>
      </w:pPr>
      <w:r>
        <w:rPr/>
        <w:t xml:space="preserve">二、商业不动产估值方法与折现率敏感性</w:t>
      </w:r>
    </w:p>
    <w:p>
      <w:pPr>
        <w:spacing w:before="75" w:after="0"/>
      </w:pPr>
      <w:r>
        <w:rPr/>
        <w:t xml:space="preserve">三、资产合规性整改成本与周期</w:t>
      </w:r>
    </w:p>
    <w:p>
      <w:pPr>
        <w:spacing w:before="75" w:after="0"/>
      </w:pPr>
      <w:r>
        <w:rPr/>
        <w:t xml:space="preserve">第二节 中游金融工具创设</w:t>
      </w:r>
    </w:p>
    <w:p>
      <w:pPr>
        <w:spacing w:before="75" w:after="0"/>
      </w:pPr>
      <w:r>
        <w:rPr/>
        <w:t xml:space="preserve">一、双层架构的治理成本</w:t>
      </w:r>
    </w:p>
    <w:p>
      <w:pPr>
        <w:spacing w:before="75" w:after="0"/>
      </w:pPr>
      <w:r>
        <w:rPr/>
        <w:t xml:space="preserve">二、管理人与运营管理机构的委托代理关系</w:t>
      </w:r>
    </w:p>
    <w:p>
      <w:pPr>
        <w:spacing w:before="75" w:after="0"/>
      </w:pPr>
      <w:r>
        <w:rPr/>
        <w:t xml:space="preserve">三、现金流预测与压力测试模型对发行定价的约束</w:t>
      </w:r>
    </w:p>
    <w:p>
      <w:pPr>
        <w:spacing w:before="75" w:after="0"/>
      </w:pPr>
      <w:r>
        <w:rPr/>
        <w:t xml:space="preserve">第三节 下游投资交易端</w:t>
      </w:r>
    </w:p>
    <w:p>
      <w:pPr>
        <w:spacing w:before="75" w:after="0"/>
      </w:pPr>
      <w:r>
        <w:rPr/>
        <w:t xml:space="preserve">一、机构投资者的准入门槛与配置偏好</w:t>
      </w:r>
    </w:p>
    <w:p>
      <w:pPr>
        <w:spacing w:before="75" w:after="0"/>
      </w:pPr>
      <w:r>
        <w:rPr/>
        <w:t xml:space="preserve">二、个人投资者参与reits的流动性与波动率特征</w:t>
      </w:r>
    </w:p>
    <w:p>
      <w:pPr>
        <w:spacing w:before="75" w:after="0"/>
      </w:pPr>
      <w:r>
        <w:rPr/>
        <w:t xml:space="preserve">三、做市商机制对reits平抑折溢价的作用</w:t>
      </w:r>
    </w:p>
    <w:p>
      <w:pPr>
        <w:spacing w:before="75" w:after="0"/>
      </w:pPr>
      <w:r>
        <w:rPr/>
        <w:t xml:space="preserve">第四节 后链路服务与增值</w:t>
      </w:r>
    </w:p>
    <w:p>
      <w:pPr>
        <w:spacing w:before="75" w:after="0"/>
      </w:pPr>
      <w:r>
        <w:rPr/>
        <w:t xml:space="preserve">一、评估机构与评级机构对存续期的动态调整</w:t>
      </w:r>
    </w:p>
    <w:p>
      <w:pPr>
        <w:spacing w:before="75" w:after="0"/>
      </w:pPr>
      <w:r>
        <w:rPr/>
        <w:t xml:space="preserve">二、会计师事务所对可供分配金额的核查要点</w:t>
      </w:r>
    </w:p>
    <w:p>
      <w:pPr>
        <w:spacing w:before="75" w:after="0"/>
      </w:pPr>
      <w:r>
        <w:rPr/>
        <w:t xml:space="preserve">三、法律顾问在扩募与关联交易中的合规价值</w:t>
      </w:r>
    </w:p>
    <w:p>
      <w:pPr>
        <w:spacing w:before="75" w:after="0"/>
      </w:pPr>
      <w:r>
        <w:rPr>
          <w:b w:val="1"/>
          <w:bCs w:val="1"/>
        </w:rPr>
        <w:t xml:space="preserve">第五章 市场供需平衡与扩募机制分析</w:t>
      </w:r>
    </w:p>
    <w:p>
      <w:pPr>
        <w:spacing w:before="75" w:after="0"/>
      </w:pPr>
      <w:r>
        <w:rPr/>
        <w:t xml:space="preserve">第一节 供给端：发行数量与募集规模</w:t>
      </w:r>
    </w:p>
    <w:p>
      <w:pPr>
        <w:spacing w:before="75" w:after="0"/>
      </w:pPr>
      <w:r>
        <w:rPr/>
        <w:t xml:space="preserve">一、已上市reits数量与总募集金额复盘</w:t>
      </w:r>
    </w:p>
    <w:p>
      <w:pPr>
        <w:spacing w:before="75" w:after="0"/>
      </w:pPr>
      <w:r>
        <w:rPr/>
        <w:t xml:space="preserve">二、待发行项目储备库规模与资产类型分布</w:t>
      </w:r>
    </w:p>
    <w:p>
      <w:pPr>
        <w:spacing w:before="75" w:after="0"/>
      </w:pPr>
      <w:r>
        <w:rPr/>
        <w:t xml:space="preserve">三、潜在供给量预测</w:t>
      </w:r>
    </w:p>
    <w:p>
      <w:pPr>
        <w:spacing w:before="75" w:after="0"/>
      </w:pPr>
      <w:r>
        <w:rPr/>
        <w:t xml:space="preserve">第二节 需求端：投资者配置意愿</w:t>
      </w:r>
    </w:p>
    <w:p>
      <w:pPr>
        <w:spacing w:before="75" w:after="0"/>
      </w:pPr>
      <w:r>
        <w:rPr/>
        <w:t xml:space="preserve">一、险资配置reits的比例上限与实际配置率差距</w:t>
      </w:r>
    </w:p>
    <w:p>
      <w:pPr>
        <w:spacing w:before="75" w:after="0"/>
      </w:pPr>
      <w:r>
        <w:rPr/>
        <w:t xml:space="preserve">二、银行理财子公司发行reits主题产品的规模与收益基准</w:t>
      </w:r>
    </w:p>
    <w:p>
      <w:pPr>
        <w:spacing w:before="75" w:after="0"/>
      </w:pPr>
      <w:r>
        <w:rPr/>
        <w:t xml:space="preserve">三、境外资金参与内地reits的潜在规模</w:t>
      </w:r>
    </w:p>
    <w:p>
      <w:pPr>
        <w:spacing w:before="75" w:after="0"/>
      </w:pPr>
      <w:r>
        <w:rPr/>
        <w:t xml:space="preserve">第三节 供需缺口与流动性平衡</w:t>
      </w:r>
    </w:p>
    <w:p>
      <w:pPr>
        <w:spacing w:before="75" w:after="0"/>
      </w:pPr>
      <w:r>
        <w:rPr/>
        <w:t xml:space="preserve">一、战略配售比例与网下公众配售中签率关系</w:t>
      </w:r>
    </w:p>
    <w:p>
      <w:pPr>
        <w:spacing w:before="75" w:after="0"/>
      </w:pPr>
      <w:r>
        <w:rPr/>
        <w:t xml:space="preserve">二、二级市场规模与首发募集规模的匹配度</w:t>
      </w:r>
    </w:p>
    <w:p>
      <w:pPr>
        <w:spacing w:before="75" w:after="0"/>
      </w:pPr>
      <w:r>
        <w:rPr/>
        <w:t xml:space="preserve">三、扩募机制常态化对存量reits规模扩张与价格稳定的作用</w:t>
      </w:r>
    </w:p>
    <w:p>
      <w:pPr>
        <w:spacing w:before="75" w:after="0"/>
      </w:pPr>
      <w:r>
        <w:rPr>
          <w:b w:val="1"/>
          <w:bCs w:val="1"/>
        </w:rPr>
        <w:t xml:space="preserve">第六章 底层资产类型深度研究：购物中心类reits</w:t>
      </w:r>
    </w:p>
    <w:p>
      <w:pPr>
        <w:spacing w:before="75" w:after="0"/>
      </w:pPr>
      <w:r>
        <w:rPr/>
        <w:t xml:space="preserve">第一节 资产运营模式与租金结构</w:t>
      </w:r>
    </w:p>
    <w:p>
      <w:pPr>
        <w:spacing w:before="75" w:after="0"/>
      </w:pPr>
      <w:r>
        <w:rPr/>
        <w:t xml:space="preserve">一、固定租金与营业额提成的权重变化趋势</w:t>
      </w:r>
    </w:p>
    <w:p>
      <w:pPr>
        <w:spacing w:before="75" w:after="0"/>
      </w:pPr>
      <w:r>
        <w:rPr/>
        <w:t xml:space="preserve">二、主力店与次主力店的坪效差异</w:t>
      </w:r>
    </w:p>
    <w:p>
      <w:pPr>
        <w:spacing w:before="75" w:after="0"/>
      </w:pPr>
      <w:r>
        <w:rPr/>
        <w:t xml:space="preserve">三、会员体系与私域流量对租金收入的贡献度评估</w:t>
      </w:r>
    </w:p>
    <w:p>
      <w:pPr>
        <w:spacing w:before="75" w:after="0"/>
      </w:pPr>
      <w:r>
        <w:rPr/>
        <w:t xml:space="preserve">第二节 资产估值与成长性</w:t>
      </w:r>
    </w:p>
    <w:p>
      <w:pPr>
        <w:spacing w:before="75" w:after="0"/>
      </w:pPr>
      <w:r>
        <w:rPr/>
        <w:t xml:space="preserve">一、净营运收入率与资本化率的锚定关系</w:t>
      </w:r>
    </w:p>
    <w:p>
      <w:pPr>
        <w:spacing w:before="75" w:after="0"/>
      </w:pPr>
      <w:r>
        <w:rPr/>
        <w:t xml:space="preserve">二、核心商圈与区域型购物中心的估值分化</w:t>
      </w:r>
    </w:p>
    <w:p>
      <w:pPr>
        <w:spacing w:before="75" w:after="0"/>
      </w:pPr>
      <w:r>
        <w:rPr/>
        <w:t xml:space="preserve">三、调价周期与租金增长弹性测算</w:t>
      </w:r>
    </w:p>
    <w:p>
      <w:pPr>
        <w:spacing w:before="75" w:after="0"/>
      </w:pPr>
      <w:r>
        <w:rPr/>
        <w:t xml:space="preserve">第三节 运营管理能力分化</w:t>
      </w:r>
    </w:p>
    <w:p>
      <w:pPr>
        <w:spacing w:before="75" w:after="0"/>
      </w:pPr>
      <w:r>
        <w:rPr/>
        <w:t xml:space="preserve">一、资产保值增值投入对净营运收入的影响时效</w:t>
      </w:r>
    </w:p>
    <w:p>
      <w:pPr>
        <w:spacing w:before="75" w:after="0"/>
      </w:pPr>
      <w:r>
        <w:rPr/>
        <w:t xml:space="preserve">二、品牌焕新与租户结构调整的频率与成本</w:t>
      </w:r>
    </w:p>
    <w:p>
      <w:pPr>
        <w:spacing w:before="75" w:after="0"/>
      </w:pPr>
      <w:r>
        <w:rPr/>
        <w:t xml:space="preserve">三、数字化运营对运营效率提升</w:t>
      </w:r>
    </w:p>
    <w:p>
      <w:pPr>
        <w:spacing w:before="75" w:after="0"/>
      </w:pPr>
      <w:r>
        <w:rPr/>
        <w:t xml:space="preserve">第四节 风险因素与应对</w:t>
      </w:r>
    </w:p>
    <w:p>
      <w:pPr>
        <w:spacing w:before="75" w:after="0"/>
      </w:pPr>
      <w:r>
        <w:rPr/>
        <w:t xml:space="preserve">一、电商渗透率提升对实体商业坪效的持续冲击</w:t>
      </w:r>
    </w:p>
    <w:p>
      <w:pPr>
        <w:spacing w:before="75" w:after="0"/>
      </w:pPr>
      <w:r>
        <w:rPr/>
        <w:t xml:space="preserve">二、消费信心指数与客单价、客流量的联动关系</w:t>
      </w:r>
    </w:p>
    <w:p>
      <w:pPr>
        <w:spacing w:before="75" w:after="0"/>
      </w:pPr>
      <w:r>
        <w:rPr/>
        <w:t xml:space="preserve">三、同业竞争导致出租率与租金双降风险</w:t>
      </w:r>
    </w:p>
    <w:p>
      <w:pPr>
        <w:spacing w:before="75" w:after="0"/>
      </w:pPr>
      <w:r>
        <w:rPr>
          <w:b w:val="1"/>
          <w:bCs w:val="1"/>
        </w:rPr>
        <w:t xml:space="preserve">第七章 底层资产类型深度研究：写字楼类reits</w:t>
      </w:r>
    </w:p>
    <w:p>
      <w:pPr>
        <w:spacing w:before="75" w:after="0"/>
      </w:pPr>
      <w:r>
        <w:rPr/>
        <w:t xml:space="preserve">第一节 资产运营模式与租金结构</w:t>
      </w:r>
    </w:p>
    <w:p>
      <w:pPr>
        <w:spacing w:before="75" w:after="0"/>
      </w:pPr>
      <w:r>
        <w:rPr/>
        <w:t xml:space="preserve">一、不同等级写字楼租金差距与企业类型匹配</w:t>
      </w:r>
    </w:p>
    <w:p>
      <w:pPr>
        <w:spacing w:before="75" w:after="0"/>
      </w:pPr>
      <w:r>
        <w:rPr/>
        <w:t xml:space="preserve">二、联合办公租金定价权与传统租约冲突</w:t>
      </w:r>
    </w:p>
    <w:p>
      <w:pPr>
        <w:spacing w:before="75" w:after="0"/>
      </w:pPr>
      <w:r>
        <w:rPr/>
        <w:t xml:space="preserve">三、长周期租约与短租的比例优化</w:t>
      </w:r>
    </w:p>
    <w:p>
      <w:pPr>
        <w:spacing w:before="75" w:after="0"/>
      </w:pPr>
      <w:r>
        <w:rPr/>
        <w:t xml:space="preserve">第二节 资产估值与成长性</w:t>
      </w:r>
    </w:p>
    <w:p>
      <w:pPr>
        <w:spacing w:before="75" w:after="0"/>
      </w:pPr>
      <w:r>
        <w:rPr/>
        <w:t xml:space="preserve">一、核心区与产业新城写字楼的资本化率差异</w:t>
      </w:r>
    </w:p>
    <w:p>
      <w:pPr>
        <w:spacing w:before="75" w:after="0"/>
      </w:pPr>
      <w:r>
        <w:rPr/>
        <w:t xml:space="preserve">二、空置率对估值的敏感系数</w:t>
      </w:r>
    </w:p>
    <w:p>
      <w:pPr>
        <w:spacing w:before="75" w:after="0"/>
      </w:pPr>
      <w:r>
        <w:rPr/>
        <w:t xml:space="preserve">三、绿色建筑认证对租金溢价与估值加成</w:t>
      </w:r>
    </w:p>
    <w:p>
      <w:pPr>
        <w:spacing w:before="75" w:after="0"/>
      </w:pPr>
      <w:r>
        <w:rPr/>
        <w:t xml:space="preserve">第三节 运营管理能力分化</w:t>
      </w:r>
    </w:p>
    <w:p>
      <w:pPr>
        <w:spacing w:before="75" w:after="0"/>
      </w:pPr>
      <w:r>
        <w:rPr/>
        <w:t xml:space="preserve">一、招商周期与前期培育成本摊销</w:t>
      </w:r>
    </w:p>
    <w:p>
      <w:pPr>
        <w:spacing w:before="75" w:after="0"/>
      </w:pPr>
      <w:r>
        <w:rPr/>
        <w:t xml:space="preserve">二、企业退租后的再装修成本与免租期损失</w:t>
      </w:r>
    </w:p>
    <w:p>
      <w:pPr>
        <w:spacing w:before="75" w:after="0"/>
      </w:pPr>
      <w:r>
        <w:rPr/>
        <w:t xml:space="preserve">三、智能化楼宇对能耗降低与租金提升</w:t>
      </w:r>
    </w:p>
    <w:p>
      <w:pPr>
        <w:spacing w:before="75" w:after="0"/>
      </w:pPr>
      <w:r>
        <w:rPr/>
        <w:t xml:space="preserve">第四节 风险因素与应对</w:t>
      </w:r>
    </w:p>
    <w:p>
      <w:pPr>
        <w:spacing w:before="75" w:after="0"/>
      </w:pPr>
      <w:r>
        <w:rPr/>
        <w:t xml:space="preserve">一、企业降本增效需求下的退租与缩减面积压力</w:t>
      </w:r>
    </w:p>
    <w:p>
      <w:pPr>
        <w:spacing w:before="75" w:after="0"/>
      </w:pPr>
      <w:r>
        <w:rPr/>
        <w:t xml:space="preserve">二、远程办公普及对人均办公面积需求的长期压制</w:t>
      </w:r>
    </w:p>
    <w:p>
      <w:pPr>
        <w:spacing w:before="75" w:after="0"/>
      </w:pPr>
      <w:r>
        <w:rPr/>
        <w:t xml:space="preserve">三、新增供应对区域市场租金的踩踏效应</w:t>
      </w:r>
    </w:p>
    <w:p>
      <w:pPr>
        <w:spacing w:before="75" w:after="0"/>
      </w:pPr>
      <w:r>
        <w:rPr>
          <w:b w:val="1"/>
          <w:bCs w:val="1"/>
        </w:rPr>
        <w:t xml:space="preserve">第八章 底层资产类型深度研究：产业园区类reits</w:t>
      </w:r>
    </w:p>
    <w:p>
      <w:pPr>
        <w:spacing w:before="75" w:after="0"/>
      </w:pPr>
      <w:r>
        <w:rPr/>
        <w:t xml:space="preserve">第一节 资产运营模式与租金结构</w:t>
      </w:r>
    </w:p>
    <w:p>
      <w:pPr>
        <w:spacing w:before="75" w:after="0"/>
      </w:pPr>
      <w:r>
        <w:rPr/>
        <w:t xml:space="preserve">一、产业导向型与收益导向型的平衡</w:t>
      </w:r>
    </w:p>
    <w:p>
      <w:pPr>
        <w:spacing w:before="75" w:after="0"/>
      </w:pPr>
      <w:r>
        <w:rPr/>
        <w:t xml:space="preserve">二、生产型厂房与研发办公的租金差异</w:t>
      </w:r>
    </w:p>
    <w:p>
      <w:pPr>
        <w:spacing w:before="75" w:after="0"/>
      </w:pPr>
      <w:r>
        <w:rPr/>
        <w:t xml:space="preserve">三、政府补贴对实际租金收入的增厚机制</w:t>
      </w:r>
    </w:p>
    <w:p>
      <w:pPr>
        <w:spacing w:before="75" w:after="0"/>
      </w:pPr>
      <w:r>
        <w:rPr/>
        <w:t xml:space="preserve">第二节 资产估值与成长性</w:t>
      </w:r>
    </w:p>
    <w:p>
      <w:pPr>
        <w:spacing w:before="75" w:after="0"/>
      </w:pPr>
      <w:r>
        <w:rPr/>
        <w:t xml:space="preserve">一、园区入住率与产业集聚度对估值的权重</w:t>
      </w:r>
    </w:p>
    <w:p>
      <w:pPr>
        <w:spacing w:before="75" w:after="0"/>
      </w:pPr>
      <w:r>
        <w:rPr/>
        <w:t xml:space="preserve">二、可分割销售与整体持有的资产流动性差异</w:t>
      </w:r>
    </w:p>
    <w:p>
      <w:pPr>
        <w:spacing w:before="75" w:after="0"/>
      </w:pPr>
      <w:r>
        <w:rPr/>
        <w:t xml:space="preserve">三、产业生命周期对租金增长持续性影响</w:t>
      </w:r>
    </w:p>
    <w:p>
      <w:pPr>
        <w:spacing w:before="75" w:after="0"/>
      </w:pPr>
      <w:r>
        <w:rPr/>
        <w:t xml:space="preserve">第三节 运营管理能力分化</w:t>
      </w:r>
    </w:p>
    <w:p>
      <w:pPr>
        <w:spacing w:before="75" w:after="0"/>
      </w:pPr>
      <w:r>
        <w:rPr/>
        <w:t xml:space="preserve">一、产业招商与产业链配套的协同效应</w:t>
      </w:r>
    </w:p>
    <w:p>
      <w:pPr>
        <w:spacing w:before="75" w:after="0"/>
      </w:pPr>
      <w:r>
        <w:rPr/>
        <w:t xml:space="preserve">二、园区服务对租金溢价的贡献</w:t>
      </w:r>
    </w:p>
    <w:p>
      <w:pPr>
        <w:spacing w:before="75" w:after="0"/>
      </w:pPr>
      <w:r>
        <w:rPr/>
        <w:t xml:space="preserve">三、轻重分离对管理费率的提升</w:t>
      </w:r>
    </w:p>
    <w:p>
      <w:pPr>
        <w:spacing w:before="75" w:after="0"/>
      </w:pPr>
      <w:r>
        <w:rPr/>
        <w:t xml:space="preserve">第四节 风险因素与应对</w:t>
      </w:r>
    </w:p>
    <w:p>
      <w:pPr>
        <w:spacing w:before="75" w:after="0"/>
      </w:pPr>
      <w:r>
        <w:rPr/>
        <w:t xml:space="preserve">一、主导产业衰退导致大规模退租的系统性风险</w:t>
      </w:r>
    </w:p>
    <w:p>
      <w:pPr>
        <w:spacing w:before="75" w:after="0"/>
      </w:pPr>
      <w:r>
        <w:rPr/>
        <w:t xml:space="preserve">二、园区同质化竞争对租金定价权的削弱</w:t>
      </w:r>
    </w:p>
    <w:p>
      <w:pPr>
        <w:spacing w:before="75" w:after="0"/>
      </w:pPr>
      <w:r>
        <w:rPr/>
        <w:t xml:space="preserve">三、环保安全政策对入园企业门槛提高与清退成本</w:t>
      </w:r>
    </w:p>
    <w:p>
      <w:pPr>
        <w:spacing w:before="75" w:after="0"/>
      </w:pPr>
      <w:r>
        <w:rPr>
          <w:b w:val="1"/>
          <w:bCs w:val="1"/>
        </w:rPr>
        <w:t xml:space="preserve">第九章 底层资产类型深度研究：租赁住房类reits</w:t>
      </w:r>
    </w:p>
    <w:p>
      <w:pPr>
        <w:spacing w:before="75" w:after="0"/>
      </w:pPr>
      <w:r>
        <w:rPr/>
        <w:t xml:space="preserve">第一节 资产运营模式与租金结构</w:t>
      </w:r>
    </w:p>
    <w:p>
      <w:pPr>
        <w:spacing w:before="75" w:after="0"/>
      </w:pPr>
      <w:r>
        <w:rPr/>
        <w:t xml:space="preserve">一、保障性租赁住房与市场化租金的价差与客群分层</w:t>
      </w:r>
    </w:p>
    <w:p>
      <w:pPr>
        <w:spacing w:before="75" w:after="0"/>
      </w:pPr>
      <w:r>
        <w:rPr/>
        <w:t xml:space="preserve">二、长租公寓的坪效与运营成本差异</w:t>
      </w:r>
    </w:p>
    <w:p>
      <w:pPr>
        <w:spacing w:before="75" w:after="0"/>
      </w:pPr>
      <w:r>
        <w:rPr/>
        <w:t xml:space="preserve">三、金融产品对实际租金收入的稳定性冲击</w:t>
      </w:r>
    </w:p>
    <w:p>
      <w:pPr>
        <w:spacing w:before="75" w:after="0"/>
      </w:pPr>
      <w:r>
        <w:rPr/>
        <w:t xml:space="preserve">第二节 资产估值与成长性</w:t>
      </w:r>
    </w:p>
    <w:p>
      <w:pPr>
        <w:spacing w:before="75" w:after="0"/>
      </w:pPr>
      <w:r>
        <w:rPr/>
        <w:t xml:space="preserve">一、租赁住房reits的资本化率与开发销售回报对比</w:t>
      </w:r>
    </w:p>
    <w:p>
      <w:pPr>
        <w:spacing w:before="75" w:after="0"/>
      </w:pPr>
      <w:r>
        <w:rPr/>
        <w:t xml:space="preserve">二、入住率对估值的刚性要求与实现难度</w:t>
      </w:r>
    </w:p>
    <w:p>
      <w:pPr>
        <w:spacing w:before="75" w:after="0"/>
      </w:pPr>
      <w:r>
        <w:rPr/>
        <w:t xml:space="preserve">三、租户续租率与租金调升空间的正相关性</w:t>
      </w:r>
    </w:p>
    <w:p>
      <w:pPr>
        <w:spacing w:before="75" w:after="0"/>
      </w:pPr>
      <w:r>
        <w:rPr/>
        <w:t xml:space="preserve">第三节 运营管理能力分化</w:t>
      </w:r>
    </w:p>
    <w:p>
      <w:pPr>
        <w:spacing w:before="75" w:after="0"/>
      </w:pPr>
      <w:r>
        <w:rPr/>
        <w:t xml:space="preserve">一、租户获取成本与留存成本的结构优化</w:t>
      </w:r>
    </w:p>
    <w:p>
      <w:pPr>
        <w:spacing w:before="75" w:after="0"/>
      </w:pPr>
      <w:r>
        <w:rPr/>
        <w:t xml:space="preserve">二、运营费用占租金收入比例的基准线</w:t>
      </w:r>
    </w:p>
    <w:p>
      <w:pPr>
        <w:spacing w:before="75" w:after="0"/>
      </w:pPr>
      <w:r>
        <w:rPr/>
        <w:t xml:space="preserve">三、社群运营与增值服务对租金溢价能力</w:t>
      </w:r>
    </w:p>
    <w:p>
      <w:pPr>
        <w:spacing w:before="75" w:after="0"/>
      </w:pPr>
      <w:r>
        <w:rPr/>
        <w:t xml:space="preserve">第四节 风险因素与应对</w:t>
      </w:r>
    </w:p>
    <w:p>
      <w:pPr>
        <w:spacing w:before="75" w:after="0"/>
      </w:pPr>
      <w:r>
        <w:rPr/>
        <w:t xml:space="preserve">一、人口城镇化放缓导致租赁需求增长天花板</w:t>
      </w:r>
    </w:p>
    <w:p>
      <w:pPr>
        <w:spacing w:before="75" w:after="0"/>
      </w:pPr>
      <w:r>
        <w:rPr/>
        <w:t xml:space="preserve">二、购房政策松动对租赁需求的挤出效应</w:t>
      </w:r>
    </w:p>
    <w:p>
      <w:pPr>
        <w:spacing w:before="75" w:after="0"/>
      </w:pPr>
      <w:r>
        <w:rPr/>
        <w:t xml:space="preserve">三、租金上涨受限与运营成本刚性上涨矛盾</w:t>
      </w:r>
    </w:p>
    <w:p>
      <w:pPr>
        <w:spacing w:before="75" w:after="0"/>
      </w:pPr>
      <w:r>
        <w:rPr>
          <w:b w:val="1"/>
          <w:bCs w:val="1"/>
        </w:rPr>
        <w:t xml:space="preserve">第十章 底层资产类型深度研究：基础设施类reits</w:t>
      </w:r>
    </w:p>
    <w:p>
      <w:pPr>
        <w:spacing w:before="75" w:after="0"/>
      </w:pPr>
      <w:r>
        <w:rPr/>
        <w:t xml:space="preserve">第一节 资产类型细分</w:t>
      </w:r>
    </w:p>
    <w:p>
      <w:pPr>
        <w:spacing w:before="75" w:after="0"/>
      </w:pPr>
      <w:r>
        <w:rPr/>
        <w:t xml:space="preserve">一、数据中心上架率与租金关联性</w:t>
      </w:r>
    </w:p>
    <w:p>
      <w:pPr>
        <w:spacing w:before="75" w:after="0"/>
      </w:pPr>
      <w:r>
        <w:rPr/>
        <w:t xml:space="preserve">二、物流仓储租约期限与租金递增条款</w:t>
      </w:r>
    </w:p>
    <w:p>
      <w:pPr>
        <w:spacing w:before="75" w:after="0"/>
      </w:pPr>
      <w:r>
        <w:rPr/>
        <w:t xml:space="preserve">三、保障性租赁住房定价机制与财政可持续性</w:t>
      </w:r>
    </w:p>
    <w:p>
      <w:pPr>
        <w:spacing w:before="75" w:after="0"/>
      </w:pPr>
      <w:r>
        <w:rPr/>
        <w:t xml:space="preserve">第二节 估值方法与特殊性</w:t>
      </w:r>
    </w:p>
    <w:p>
      <w:pPr>
        <w:spacing w:before="75" w:after="0"/>
      </w:pPr>
      <w:r>
        <w:rPr/>
        <w:t xml:space="preserve">一、数据中心双维度估值逻辑</w:t>
      </w:r>
    </w:p>
    <w:p>
      <w:pPr>
        <w:spacing w:before="75" w:after="0"/>
      </w:pPr>
      <w:r>
        <w:rPr/>
        <w:t xml:space="preserve">二、物流仓储资本化率与位置的锚定</w:t>
      </w:r>
    </w:p>
    <w:p>
      <w:pPr>
        <w:spacing w:before="75" w:after="0"/>
      </w:pPr>
      <w:r>
        <w:rPr/>
        <w:t xml:space="preserve">三、政府补贴收入的确认与估值折让</w:t>
      </w:r>
    </w:p>
    <w:p>
      <w:pPr>
        <w:spacing w:before="75" w:after="0"/>
      </w:pPr>
      <w:r>
        <w:rPr/>
        <w:t xml:space="preserve">第三节 运营管理能力分化</w:t>
      </w:r>
    </w:p>
    <w:p>
      <w:pPr>
        <w:spacing w:before="75" w:after="0"/>
      </w:pPr>
      <w:r>
        <w:rPr/>
        <w:t xml:space="preserve">一、数据中心能耗优化对净营运收入率的提升</w:t>
      </w:r>
    </w:p>
    <w:p>
      <w:pPr>
        <w:spacing w:before="75" w:after="0"/>
      </w:pPr>
      <w:r>
        <w:rPr/>
        <w:t xml:space="preserve">二、物流仓储智能化对租金溢价</w:t>
      </w:r>
    </w:p>
    <w:p>
      <w:pPr>
        <w:spacing w:before="75" w:after="0"/>
      </w:pPr>
      <w:r>
        <w:rPr/>
        <w:t xml:space="preserve">三、租户资格审核与动态管理的合规成本</w:t>
      </w:r>
    </w:p>
    <w:p>
      <w:pPr>
        <w:spacing w:before="75" w:after="0"/>
      </w:pPr>
      <w:r>
        <w:rPr/>
        <w:t xml:space="preserve">第四节 风险因素与应对</w:t>
      </w:r>
    </w:p>
    <w:p>
      <w:pPr>
        <w:spacing w:before="75" w:after="0"/>
      </w:pPr>
      <w:r>
        <w:rPr/>
        <w:t xml:space="preserve">一、技术迭代对存量资产的估值冲击</w:t>
      </w:r>
    </w:p>
    <w:p>
      <w:pPr>
        <w:spacing w:before="75" w:after="0"/>
      </w:pPr>
      <w:r>
        <w:rPr/>
        <w:t xml:space="preserve">二、用地供给增加导致租金增长放缓</w:t>
      </w:r>
    </w:p>
    <w:p>
      <w:pPr>
        <w:spacing w:before="75" w:after="0"/>
      </w:pPr>
      <w:r>
        <w:rPr/>
        <w:t xml:space="preserve">三、政策调整对资产流动性的影响</w:t>
      </w:r>
    </w:p>
    <w:p>
      <w:pPr>
        <w:spacing w:before="75" w:after="0"/>
      </w:pPr>
      <w:r>
        <w:rPr>
          <w:b w:val="1"/>
          <w:bCs w:val="1"/>
        </w:rPr>
        <w:t xml:space="preserve">第十一章 估值与定价机制深度研究</w:t>
      </w:r>
    </w:p>
    <w:p>
      <w:pPr>
        <w:spacing w:before="75" w:after="0"/>
      </w:pPr>
      <w:r>
        <w:rPr/>
        <w:t xml:space="preserve">第一节 发行估值方法论</w:t>
      </w:r>
    </w:p>
    <w:p>
      <w:pPr>
        <w:spacing w:before="75" w:after="0"/>
      </w:pPr>
      <w:r>
        <w:rPr/>
        <w:t xml:space="preserve">一、收益法中折现率的确定依据</w:t>
      </w:r>
    </w:p>
    <w:p>
      <w:pPr>
        <w:spacing w:before="75" w:after="0"/>
      </w:pPr>
      <w:r>
        <w:rPr/>
        <w:t xml:space="preserve">二、比较法在可比案例不足时的应用困境</w:t>
      </w:r>
    </w:p>
    <w:p>
      <w:pPr>
        <w:spacing w:before="75" w:after="0"/>
      </w:pPr>
      <w:r>
        <w:rPr/>
        <w:t xml:space="preserve">三、成本法对基础设施类reits的辅助估值</w:t>
      </w:r>
    </w:p>
    <w:p>
      <w:pPr>
        <w:spacing w:before="75" w:after="0"/>
      </w:pPr>
      <w:r>
        <w:rPr/>
        <w:t xml:space="preserve">第二节 二级市场定价逻辑</w:t>
      </w:r>
    </w:p>
    <w:p>
      <w:pPr>
        <w:spacing w:before="75" w:after="0"/>
      </w:pPr>
      <w:r>
        <w:rPr/>
        <w:t xml:space="preserve">一、无风险利率变动对reits折溢价影响系数</w:t>
      </w:r>
    </w:p>
    <w:p>
      <w:pPr>
        <w:spacing w:before="75" w:after="0"/>
      </w:pPr>
      <w:r>
        <w:rPr/>
        <w:t xml:space="preserve">二、投资者结构对交易流动性与波动率的差异化影响</w:t>
      </w:r>
    </w:p>
    <w:p>
      <w:pPr>
        <w:spacing w:before="75" w:after="0"/>
      </w:pPr>
      <w:r>
        <w:rPr/>
        <w:t xml:space="preserve">三、分红除息日与价格填权贴权规律的统计分析</w:t>
      </w:r>
    </w:p>
    <w:p>
      <w:pPr>
        <w:spacing w:before="75" w:after="0"/>
      </w:pPr>
      <w:r>
        <w:rPr/>
        <w:t xml:space="preserve">第三节 扩募定价与资产注入</w:t>
      </w:r>
    </w:p>
    <w:p>
      <w:pPr>
        <w:spacing w:before="75" w:after="0"/>
      </w:pPr>
      <w:r>
        <w:rPr/>
        <w:t xml:space="preserve">一、扩募价格与二级市场交易价的折扣率设定</w:t>
      </w:r>
    </w:p>
    <w:p>
      <w:pPr>
        <w:spacing w:before="75" w:after="0"/>
      </w:pPr>
      <w:r>
        <w:rPr/>
        <w:t xml:space="preserve">二、新注入资产评估增值率对老持有人权益摊薄的影响</w:t>
      </w:r>
    </w:p>
    <w:p>
      <w:pPr>
        <w:spacing w:before="75" w:after="0"/>
      </w:pPr>
      <w:r>
        <w:rPr/>
        <w:t xml:space="preserve">三、关联交易定价的公允性核查与监管要求</w:t>
      </w:r>
    </w:p>
    <w:p>
      <w:pPr>
        <w:spacing w:before="75" w:after="0"/>
      </w:pPr>
      <w:r>
        <w:rPr/>
        <w:t xml:space="preserve">第四节 估值偏差与纠偏机制</w:t>
      </w:r>
    </w:p>
    <w:p>
      <w:pPr>
        <w:spacing w:before="75" w:after="0"/>
      </w:pPr>
      <w:r>
        <w:rPr/>
        <w:t xml:space="preserve">一、评估机构更换频率与估值结果调整幅度的相关性</w:t>
      </w:r>
    </w:p>
    <w:p>
      <w:pPr>
        <w:spacing w:before="75" w:after="0"/>
      </w:pPr>
      <w:r>
        <w:rPr/>
        <w:t xml:space="preserve">二、底层资产重大改造对估值模型的参数修正</w:t>
      </w:r>
    </w:p>
    <w:p>
      <w:pPr>
        <w:spacing w:before="75" w:after="0"/>
      </w:pPr>
      <w:r>
        <w:rPr/>
        <w:t xml:space="preserve">三、市场异常波动时停牌与信息披露的触发条件</w:t>
      </w:r>
    </w:p>
    <w:p>
      <w:pPr>
        <w:spacing w:before="75" w:after="0"/>
      </w:pPr>
      <w:r>
        <w:rPr>
          <w:b w:val="1"/>
          <w:bCs w:val="1"/>
        </w:rPr>
        <w:t xml:space="preserve">第十二章 竞争格局演变与集中度趋势</w:t>
      </w:r>
    </w:p>
    <w:p>
      <w:pPr>
        <w:spacing w:before="75" w:after="0"/>
      </w:pPr>
      <w:r>
        <w:rPr/>
        <w:t xml:space="preserve">第一节 市场集中度分析</w:t>
      </w:r>
    </w:p>
    <w:p>
      <w:pPr>
        <w:spacing w:before="75" w:after="0"/>
      </w:pPr>
      <w:r>
        <w:rPr/>
        <w:t xml:space="preserve">一、管理人在管规模集中度与市场份额</w:t>
      </w:r>
    </w:p>
    <w:p>
      <w:pPr>
        <w:spacing w:before="75" w:after="0"/>
      </w:pPr>
      <w:r>
        <w:rPr/>
        <w:t xml:space="preserve">二、原始权益人的行业分布集中度</w:t>
      </w:r>
    </w:p>
    <w:p>
      <w:pPr>
        <w:spacing w:before="75" w:after="0"/>
      </w:pPr>
      <w:r>
        <w:rPr/>
        <w:t xml:space="preserve">三、各类型底层资产reits市场规模占比与变化</w:t>
      </w:r>
    </w:p>
    <w:p>
      <w:pPr>
        <w:spacing w:before="75" w:after="0"/>
      </w:pPr>
      <w:r>
        <w:rPr/>
        <w:t xml:space="preserve">第二节 竞争者战略定位差异</w:t>
      </w:r>
    </w:p>
    <w:p>
      <w:pPr>
        <w:spacing w:before="75" w:after="0"/>
      </w:pPr>
      <w:r>
        <w:rPr/>
        <w:t xml:space="preserve">一、基金管理人：主动管理与被动持有</w:t>
      </w:r>
    </w:p>
    <w:p>
      <w:pPr>
        <w:spacing w:before="75" w:after="0"/>
      </w:pPr>
      <w:r>
        <w:rPr/>
        <w:t xml:space="preserve">二、原始权益人：资产出表与并表控制</w:t>
      </w:r>
    </w:p>
    <w:p>
      <w:pPr>
        <w:spacing w:before="75" w:after="0"/>
      </w:pPr>
      <w:r>
        <w:rPr/>
        <w:t xml:space="preserve">三、运营管理机构：品牌溢价与成本领先</w:t>
      </w:r>
    </w:p>
    <w:p>
      <w:pPr>
        <w:spacing w:before="75" w:after="0"/>
      </w:pPr>
      <w:r>
        <w:rPr/>
        <w:t xml:space="preserve">第三节 竞争要素权重变迁</w:t>
      </w:r>
    </w:p>
    <w:p>
      <w:pPr>
        <w:spacing w:before="75" w:after="0"/>
      </w:pPr>
      <w:r>
        <w:rPr/>
        <w:t xml:space="preserve">一、资产规模与资产质量的估值权重</w:t>
      </w:r>
    </w:p>
    <w:p>
      <w:pPr>
        <w:spacing w:before="75" w:after="0"/>
      </w:pPr>
      <w:r>
        <w:rPr/>
        <w:t xml:space="preserve">二、扩募能力与首发规模的市场认可度</w:t>
      </w:r>
    </w:p>
    <w:p>
      <w:pPr>
        <w:spacing w:before="75" w:after="0"/>
      </w:pPr>
      <w:r>
        <w:rPr/>
        <w:t xml:space="preserve">三、esg评级与股息率的投资者偏好排序</w:t>
      </w:r>
    </w:p>
    <w:p>
      <w:pPr>
        <w:spacing w:before="75" w:after="0"/>
      </w:pPr>
      <w:r>
        <w:rPr/>
        <w:t xml:space="preserve">第四节 新进入者威胁与壁垒</w:t>
      </w:r>
    </w:p>
    <w:p>
      <w:pPr>
        <w:spacing w:before="75" w:after="0"/>
      </w:pPr>
      <w:r>
        <w:rPr/>
        <w:t xml:space="preserve">一、pre-reits基金退出的资产包规模与合规成本门槛</w:t>
      </w:r>
    </w:p>
    <w:p>
      <w:pPr>
        <w:spacing w:before="75" w:after="0"/>
      </w:pPr>
      <w:r>
        <w:rPr/>
        <w:t xml:space="preserve">二、保险公司发起设立reits的制度障碍与突破路径</w:t>
      </w:r>
    </w:p>
    <w:p>
      <w:pPr>
        <w:spacing w:before="75" w:after="0"/>
      </w:pPr>
      <w:r>
        <w:rPr/>
        <w:t xml:space="preserve">三、外资参与内地reits的战略意图</w:t>
      </w:r>
    </w:p>
    <w:p>
      <w:pPr>
        <w:spacing w:before="75" w:after="0"/>
      </w:pPr>
      <w:r>
        <w:rPr>
          <w:b w:val="1"/>
          <w:bCs w:val="1"/>
        </w:rPr>
        <w:t xml:space="preserve">第十三章 区域市场发展潜力评估</w:t>
      </w:r>
    </w:p>
    <w:p>
      <w:pPr>
        <w:spacing w:before="75" w:after="0"/>
      </w:pPr>
      <w:r>
        <w:rPr/>
        <w:t xml:space="preserve">第一节 京津冀：政策资源与总部经济</w:t>
      </w:r>
    </w:p>
    <w:p>
      <w:pPr>
        <w:spacing w:before="75" w:after="0"/>
      </w:pPr>
      <w:r>
        <w:rPr/>
        <w:t xml:space="preserve">一、写字楼空置率与reits估值修复难度</w:t>
      </w:r>
    </w:p>
    <w:p>
      <w:pPr>
        <w:spacing w:before="75" w:after="0"/>
      </w:pPr>
      <w:r>
        <w:rPr/>
        <w:t xml:space="preserve">二、产业园区租金增长潜力</w:t>
      </w:r>
    </w:p>
    <w:p>
      <w:pPr>
        <w:spacing w:before="75" w:after="0"/>
      </w:pPr>
      <w:r>
        <w:rPr/>
        <w:t xml:space="preserve">三、新区基础设施reits的政策倾斜与资产储备</w:t>
      </w:r>
    </w:p>
    <w:p>
      <w:pPr>
        <w:spacing w:before="75" w:after="0"/>
      </w:pPr>
      <w:r>
        <w:rPr/>
        <w:t xml:space="preserve">第二节 长三角：市场深度与资产多元</w:t>
      </w:r>
    </w:p>
    <w:p>
      <w:pPr>
        <w:spacing w:before="75" w:after="0"/>
      </w:pPr>
      <w:r>
        <w:rPr/>
        <w:t xml:space="preserve">一、核心商圈购物中心租金坪效支撑估值</w:t>
      </w:r>
    </w:p>
    <w:p>
      <w:pPr>
        <w:spacing w:before="75" w:after="0"/>
      </w:pPr>
      <w:r>
        <w:rPr/>
        <w:t xml:space="preserve">二、产业园租户稳定性与租金弹性</w:t>
      </w:r>
    </w:p>
    <w:p>
      <w:pPr>
        <w:spacing w:before="75" w:after="0"/>
      </w:pPr>
      <w:r>
        <w:rPr/>
        <w:t xml:space="preserve">三、物流仓储用地供给紧张对租金上涨的支撑</w:t>
      </w:r>
    </w:p>
    <w:p>
      <w:pPr>
        <w:spacing w:before="75" w:after="0"/>
      </w:pPr>
      <w:r>
        <w:rPr/>
        <w:t xml:space="preserve">第三节 粤港澳大湾区：国际化与存量盘活</w:t>
      </w:r>
    </w:p>
    <w:p>
      <w:pPr>
        <w:spacing w:before="75" w:after="0"/>
      </w:pPr>
      <w:r>
        <w:rPr/>
        <w:t xml:space="preserve">一、产业园区reits对当地产业的反哺效应</w:t>
      </w:r>
    </w:p>
    <w:p>
      <w:pPr>
        <w:spacing w:before="75" w:after="0"/>
      </w:pPr>
      <w:r>
        <w:rPr/>
        <w:t xml:space="preserve">二、保障性租赁住房reits的财政可持续性</w:t>
      </w:r>
    </w:p>
    <w:p>
      <w:pPr>
        <w:spacing w:before="75" w:after="0"/>
      </w:pPr>
      <w:r>
        <w:rPr/>
        <w:t xml:space="preserve">三、物流仓储承接跨境电商需求的增长</w:t>
      </w:r>
    </w:p>
    <w:p>
      <w:pPr>
        <w:spacing w:before="75" w:after="0"/>
      </w:pPr>
      <w:r>
        <w:rPr/>
        <w:t xml:space="preserve">第四节 成渝与长江中游：成本优势与增长潜力</w:t>
      </w:r>
    </w:p>
    <w:p>
      <w:pPr>
        <w:spacing w:before="75" w:after="0"/>
      </w:pPr>
      <w:r>
        <w:rPr/>
        <w:t xml:space="preserve">一、产业园区租金成本优势与产业导入能力</w:t>
      </w:r>
    </w:p>
    <w:p>
      <w:pPr>
        <w:spacing w:before="75" w:after="0"/>
      </w:pPr>
      <w:r>
        <w:rPr/>
        <w:t xml:space="preserve">二、物流仓储的区域辐射价值</w:t>
      </w:r>
    </w:p>
    <w:p>
      <w:pPr>
        <w:spacing w:before="75" w:after="0"/>
      </w:pPr>
      <w:r>
        <w:rPr/>
        <w:t xml:space="preserve">三、基础设施reits的现金流稳定性</w:t>
      </w:r>
    </w:p>
    <w:p>
      <w:pPr>
        <w:spacing w:before="75" w:after="0"/>
      </w:pPr>
      <w:r>
        <w:rPr/>
        <w:t xml:space="preserve">第五节 下沉市场可行性</w:t>
      </w:r>
    </w:p>
    <w:p>
      <w:pPr>
        <w:spacing w:before="75" w:after="0"/>
      </w:pPr>
      <w:r>
        <w:rPr/>
        <w:t xml:space="preserve">一、县域产业园区标准化厂房的reits化可行性</w:t>
      </w:r>
    </w:p>
    <w:p>
      <w:pPr>
        <w:spacing w:before="75" w:after="0"/>
      </w:pPr>
      <w:r>
        <w:rPr/>
        <w:t xml:space="preserve">二、县域商业综合体出租率波动性</w:t>
      </w:r>
    </w:p>
    <w:p>
      <w:pPr>
        <w:spacing w:before="75" w:after="0"/>
      </w:pPr>
      <w:r>
        <w:rPr/>
        <w:t xml:space="preserve">三、地方政府隐性担保对reits信用的提升与风险</w:t>
      </w:r>
    </w:p>
    <w:p>
      <w:pPr>
        <w:spacing w:before="75" w:after="0"/>
      </w:pPr>
      <w:r>
        <w:rPr>
          <w:b w:val="1"/>
          <w:bCs w:val="1"/>
        </w:rPr>
        <w:t xml:space="preserve">第十四章 商业模式与盈利结构创新</w:t>
      </w:r>
    </w:p>
    <w:p>
      <w:pPr>
        <w:spacing w:before="75" w:after="0"/>
      </w:pPr>
      <w:r>
        <w:rPr/>
        <w:t xml:space="preserve">第一节 管理费模式优化</w:t>
      </w:r>
    </w:p>
    <w:p>
      <w:pPr>
        <w:spacing w:before="75" w:after="0"/>
      </w:pPr>
      <w:r>
        <w:rPr/>
        <w:t xml:space="preserve">一、固定管理费与浮动管理费的组合</w:t>
      </w:r>
    </w:p>
    <w:p>
      <w:pPr>
        <w:spacing w:before="75" w:after="0"/>
      </w:pPr>
      <w:r>
        <w:rPr/>
        <w:t xml:space="preserve">二、运营管理机构收费模式对资产增值的引导</w:t>
      </w:r>
    </w:p>
    <w:p>
      <w:pPr>
        <w:spacing w:before="75" w:after="0"/>
      </w:pPr>
      <w:r>
        <w:rPr/>
        <w:t xml:space="preserve">三、管理费总额与投资者净现金流分配的权衡</w:t>
      </w:r>
    </w:p>
    <w:p>
      <w:pPr>
        <w:spacing w:before="75" w:after="0"/>
      </w:pPr>
      <w:r>
        <w:rPr/>
        <w:t xml:space="preserve">第二节 扩募驱动增长模式</w:t>
      </w:r>
    </w:p>
    <w:p>
      <w:pPr>
        <w:spacing w:before="75" w:after="0"/>
      </w:pPr>
      <w:r>
        <w:rPr/>
        <w:t xml:space="preserve">一、原始权益人持续注入资产的动机与定价</w:t>
      </w:r>
    </w:p>
    <w:p>
      <w:pPr>
        <w:spacing w:before="75" w:after="0"/>
      </w:pPr>
      <w:r>
        <w:rPr/>
        <w:t xml:space="preserve">二、扩募对reits杠杆水平的影响</w:t>
      </w:r>
    </w:p>
    <w:p>
      <w:pPr>
        <w:spacing w:before="75" w:after="0"/>
      </w:pPr>
      <w:r>
        <w:rPr/>
        <w:t xml:space="preserve">三、扩募时新老投资者配售比例与权益摊薄的平衡</w:t>
      </w:r>
    </w:p>
    <w:p>
      <w:pPr>
        <w:spacing w:before="75" w:after="0"/>
      </w:pPr>
      <w:r>
        <w:rPr/>
        <w:t xml:space="preserve">第三节 轻资产运营输出</w:t>
      </w:r>
    </w:p>
    <w:p>
      <w:pPr>
        <w:spacing w:before="75" w:after="0"/>
      </w:pPr>
      <w:r>
        <w:rPr/>
        <w:t xml:space="preserve">一、管理人向其他资产输出管理品牌收费</w:t>
      </w:r>
    </w:p>
    <w:p>
      <w:pPr>
        <w:spacing w:before="75" w:after="0"/>
      </w:pPr>
      <w:r>
        <w:rPr/>
        <w:t xml:space="preserve">二、运营管理机构对第三方资产委托管理</w:t>
      </w:r>
    </w:p>
    <w:p>
      <w:pPr>
        <w:spacing w:before="75" w:after="0"/>
      </w:pPr>
      <w:r>
        <w:rPr/>
        <w:t xml:space="preserve">三、数字化运营平台saas化输出</w:t>
      </w:r>
    </w:p>
    <w:p>
      <w:pPr>
        <w:spacing w:before="75" w:after="0"/>
      </w:pPr>
      <w:r>
        <w:rPr/>
        <w:t xml:space="preserve">第四节 产业链延伸与生态构建</w:t>
      </w:r>
    </w:p>
    <w:p>
      <w:pPr>
        <w:spacing w:before="75" w:after="0"/>
      </w:pPr>
      <w:r>
        <w:rPr/>
        <w:t xml:space="preserve">一、reits持有不动产的租户股权投资</w:t>
      </w:r>
    </w:p>
    <w:p>
      <w:pPr>
        <w:spacing w:before="75" w:after="0"/>
      </w:pPr>
      <w:r>
        <w:rPr/>
        <w:t xml:space="preserve">二、与金融机构合作获取中间收入</w:t>
      </w:r>
    </w:p>
    <w:p>
      <w:pPr>
        <w:spacing w:before="75" w:after="0"/>
      </w:pPr>
      <w:r>
        <w:rPr/>
        <w:t xml:space="preserve">三、绿色改造投资与节能收益分成</w:t>
      </w:r>
    </w:p>
    <w:p>
      <w:pPr>
        <w:spacing w:before="75" w:after="0"/>
      </w:pPr>
      <w:r>
        <w:rPr>
          <w:b w:val="1"/>
          <w:bCs w:val="1"/>
        </w:rPr>
        <w:t xml:space="preserve">第十五章 投融资与资本工具创新</w:t>
      </w:r>
    </w:p>
    <w:p>
      <w:pPr>
        <w:spacing w:before="75" w:after="0"/>
      </w:pPr>
      <w:r>
        <w:rPr/>
        <w:t xml:space="preserve">第一节 pre-reits市场培育</w:t>
      </w:r>
    </w:p>
    <w:p>
      <w:pPr>
        <w:spacing w:before="75" w:after="0"/>
      </w:pPr>
      <w:r>
        <w:rPr/>
        <w:t xml:space="preserve">一、pre-reits基金的组织形式与退出路径</w:t>
      </w:r>
    </w:p>
    <w:p>
      <w:pPr>
        <w:spacing w:before="75" w:after="0"/>
      </w:pPr>
      <w:r>
        <w:rPr/>
        <w:t xml:space="preserve">二、pre-reits阶段估值与reits发行估值的衔接</w:t>
      </w:r>
    </w:p>
    <w:p>
      <w:pPr>
        <w:spacing w:before="75" w:after="0"/>
      </w:pPr>
      <w:r>
        <w:rPr/>
        <w:t xml:space="preserve">三、原始权益人通过pre-reits实现资产出表的会计处理</w:t>
      </w:r>
    </w:p>
    <w:p>
      <w:pPr>
        <w:spacing w:before="75" w:after="0"/>
      </w:pPr>
      <w:r>
        <w:rPr/>
        <w:t xml:space="preserve">第二节 reits二级市场融资工具</w:t>
      </w:r>
    </w:p>
    <w:p>
      <w:pPr>
        <w:spacing w:before="75" w:after="0"/>
      </w:pPr>
      <w:r>
        <w:rPr/>
        <w:t xml:space="preserve">一、reits份额质押融资对投资者杠杆率的提升</w:t>
      </w:r>
    </w:p>
    <w:p>
      <w:pPr>
        <w:spacing w:before="75" w:after="0"/>
      </w:pPr>
      <w:r>
        <w:rPr/>
        <w:t xml:space="preserve">二、reits作为融资融券标的对交易活跃度的影响</w:t>
      </w:r>
    </w:p>
    <w:p>
      <w:pPr>
        <w:spacing w:before="75" w:after="0"/>
      </w:pPr>
      <w:r>
        <w:rPr/>
        <w:t xml:space="preserve">三、reits份额回购对价格稳定与信号传递</w:t>
      </w:r>
    </w:p>
    <w:p>
      <w:pPr>
        <w:spacing w:before="75" w:after="0"/>
      </w:pPr>
      <w:r>
        <w:rPr/>
        <w:t xml:space="preserve">第三节 杠杆工具使用边界</w:t>
      </w:r>
    </w:p>
    <w:p>
      <w:pPr>
        <w:spacing w:before="75" w:after="0"/>
      </w:pPr>
      <w:r>
        <w:rPr/>
        <w:t xml:space="preserve">一、借款上限对reits扩张能力的约束与优化</w:t>
      </w:r>
    </w:p>
    <w:p>
      <w:pPr>
        <w:spacing w:before="75" w:after="0"/>
      </w:pPr>
      <w:r>
        <w:rPr/>
        <w:t xml:space="preserve">二、并购贷款在扩募收购资产中的应用与利率成本</w:t>
      </w:r>
    </w:p>
    <w:p>
      <w:pPr>
        <w:spacing w:before="75" w:after="0"/>
      </w:pPr>
      <w:r>
        <w:rPr/>
        <w:t xml:space="preserve">三、永续债作为reits资本工具的适用性与合规风险</w:t>
      </w:r>
    </w:p>
    <w:p>
      <w:pPr>
        <w:spacing w:before="75" w:after="0"/>
      </w:pPr>
      <w:r>
        <w:rPr/>
        <w:t xml:space="preserve">第四节 跨境资本流动</w:t>
      </w:r>
    </w:p>
    <w:p>
      <w:pPr>
        <w:spacing w:before="75" w:after="0"/>
      </w:pPr>
      <w:r>
        <w:rPr/>
        <w:t xml:space="preserve">一、港股reits通对内地reits估值锚定</w:t>
      </w:r>
    </w:p>
    <w:p>
      <w:pPr>
        <w:spacing w:before="75" w:after="0"/>
      </w:pPr>
      <w:r>
        <w:rPr/>
        <w:t xml:space="preserve">二、外资参与pre-reits与reits的战略投资路径</w:t>
      </w:r>
    </w:p>
    <w:p>
      <w:pPr>
        <w:spacing w:before="75" w:after="0"/>
      </w:pPr>
      <w:r>
        <w:rPr/>
        <w:t xml:space="preserve">三、reits底层资产跨境的的法律障碍与突破</w:t>
      </w:r>
    </w:p>
    <w:p>
      <w:pPr>
        <w:spacing w:before="75" w:after="0"/>
      </w:pPr>
      <w:r>
        <w:rPr>
          <w:b w:val="1"/>
          <w:bCs w:val="1"/>
        </w:rPr>
        <w:t xml:space="preserve">第十六章 风险管理与投资者保护机制</w:t>
      </w:r>
    </w:p>
    <w:p>
      <w:pPr>
        <w:spacing w:before="75" w:after="0"/>
      </w:pPr>
      <w:r>
        <w:rPr/>
        <w:t xml:space="preserve">第一节 底层资产经营风险</w:t>
      </w:r>
    </w:p>
    <w:p>
      <w:pPr>
        <w:spacing w:before="75" w:after="0"/>
      </w:pPr>
      <w:r>
        <w:rPr/>
        <w:t xml:space="preserve">一、租户集中度高违约导致空置的应急机制</w:t>
      </w:r>
    </w:p>
    <w:p>
      <w:pPr>
        <w:spacing w:before="75" w:after="0"/>
      </w:pPr>
      <w:r>
        <w:rPr/>
        <w:t xml:space="preserve">二、租金收缴率下降对现金流的冲击</w:t>
      </w:r>
    </w:p>
    <w:p>
      <w:pPr>
        <w:spacing w:before="75" w:after="0"/>
      </w:pPr>
      <w:r>
        <w:rPr/>
        <w:t xml:space="preserve">三、资产重大维修资本性支出超预算</w:t>
      </w:r>
    </w:p>
    <w:p>
      <w:pPr>
        <w:spacing w:before="75" w:after="0"/>
      </w:pPr>
      <w:r>
        <w:rPr/>
        <w:t xml:space="preserve">第二节 财务杠杆与再融资风险</w:t>
      </w:r>
    </w:p>
    <w:p>
      <w:pPr>
        <w:spacing w:before="75" w:after="0"/>
      </w:pPr>
      <w:r>
        <w:rPr/>
        <w:t xml:space="preserve">一、利率上行周期借款成本上升对可分派现金流的侵蚀</w:t>
      </w:r>
    </w:p>
    <w:p>
      <w:pPr>
        <w:spacing w:before="75" w:after="0"/>
      </w:pPr>
      <w:r>
        <w:rPr/>
        <w:t xml:space="preserve">二、借款到期集中与资产处置流动性</w:t>
      </w:r>
    </w:p>
    <w:p>
      <w:pPr>
        <w:spacing w:before="75" w:after="0"/>
      </w:pPr>
      <w:r>
        <w:rPr/>
        <w:t xml:space="preserve">三、扩募失败导致负债率被动超标的风险</w:t>
      </w:r>
    </w:p>
    <w:p>
      <w:pPr>
        <w:spacing w:before="75" w:after="0"/>
      </w:pPr>
      <w:r>
        <w:rPr/>
        <w:t xml:space="preserve">第三节 治理风险与关联交易</w:t>
      </w:r>
    </w:p>
    <w:p>
      <w:pPr>
        <w:spacing w:before="75" w:after="0"/>
      </w:pPr>
      <w:r>
        <w:rPr/>
        <w:t xml:space="preserve">一、运营管理机构与基金利益冲突</w:t>
      </w:r>
    </w:p>
    <w:p>
      <w:pPr>
        <w:spacing w:before="75" w:after="0"/>
      </w:pPr>
      <w:r>
        <w:rPr/>
        <w:t xml:space="preserve">二、关联交易定价公允性的监管核查与信息披露</w:t>
      </w:r>
    </w:p>
    <w:p>
      <w:pPr>
        <w:spacing w:before="75" w:after="0"/>
      </w:pPr>
      <w:r>
        <w:rPr/>
        <w:t xml:space="preserve">三、管理人更迭对reits运营稳定性的影响</w:t>
      </w:r>
    </w:p>
    <w:p>
      <w:pPr>
        <w:spacing w:before="75" w:after="0"/>
      </w:pPr>
      <w:r>
        <w:rPr/>
        <w:t xml:space="preserve">第四节 投资者保护制度</w:t>
      </w:r>
    </w:p>
    <w:p>
      <w:pPr>
        <w:spacing w:before="75" w:after="0"/>
      </w:pPr>
      <w:r>
        <w:rPr/>
        <w:t xml:space="preserve">一、持有人大会的召集门槛与表决机制</w:t>
      </w:r>
    </w:p>
    <w:p>
      <w:pPr>
        <w:spacing w:before="75" w:after="0"/>
      </w:pPr>
      <w:r>
        <w:rPr/>
        <w:t xml:space="preserve">二、信息披露频率与重大事件临时公告</w:t>
      </w:r>
    </w:p>
    <w:p>
      <w:pPr>
        <w:spacing w:before="75" w:after="0"/>
      </w:pPr>
      <w:r>
        <w:rPr/>
        <w:t xml:space="preserve">三、估值机构更换与投资者质疑的应对流程</w:t>
      </w:r>
    </w:p>
    <w:p>
      <w:pPr>
        <w:spacing w:before="75" w:after="0"/>
      </w:pPr>
      <w:r>
        <w:rPr>
          <w:b w:val="1"/>
          <w:bCs w:val="1"/>
        </w:rPr>
        <w:t xml:space="preserve">第十七章 系统性风险识别与宏观传导</w:t>
      </w:r>
    </w:p>
    <w:p>
      <w:pPr>
        <w:spacing w:before="75" w:after="0"/>
      </w:pPr>
      <w:r>
        <w:rPr/>
        <w:t xml:space="preserve">第一节 利率与货币政策风险</w:t>
      </w:r>
    </w:p>
    <w:p>
      <w:pPr>
        <w:spacing w:before="75" w:after="0"/>
      </w:pPr>
      <w:r>
        <w:rPr/>
        <w:t xml:space="preserve">一、货币政策收紧对reits估值的系统性压制</w:t>
      </w:r>
    </w:p>
    <w:p>
      <w:pPr>
        <w:spacing w:before="75" w:after="0"/>
      </w:pPr>
      <w:r>
        <w:rPr/>
        <w:t xml:space="preserve">二、收益率曲线倒挂对再融资成本的直接与间接影响</w:t>
      </w:r>
    </w:p>
    <w:p>
      <w:pPr>
        <w:spacing w:before="75" w:after="0"/>
      </w:pPr>
      <w:r>
        <w:rPr/>
        <w:t xml:space="preserve">三、汇率波动对投资者回报的侵蚀</w:t>
      </w:r>
    </w:p>
    <w:p>
      <w:pPr>
        <w:spacing w:before="75" w:after="0"/>
      </w:pPr>
      <w:r>
        <w:rPr/>
        <w:t xml:space="preserve">第二节 房地产市场周期风险</w:t>
      </w:r>
    </w:p>
    <w:p>
      <w:pPr>
        <w:spacing w:before="75" w:after="0"/>
      </w:pPr>
      <w:r>
        <w:rPr/>
        <w:t xml:space="preserve">一、商业不动产供需失衡导致租金持续下滑</w:t>
      </w:r>
    </w:p>
    <w:p>
      <w:pPr>
        <w:spacing w:before="75" w:after="0"/>
      </w:pPr>
      <w:r>
        <w:rPr/>
        <w:t xml:space="preserve">二、资产价格下跌触发杠杆率预警与强制去杠杆</w:t>
      </w:r>
    </w:p>
    <w:p>
      <w:pPr>
        <w:spacing w:before="75" w:after="0"/>
      </w:pPr>
      <w:r>
        <w:rPr/>
        <w:t xml:space="preserve">三、区域性房地产市场资产减值集中暴露</w:t>
      </w:r>
    </w:p>
    <w:p>
      <w:pPr>
        <w:spacing w:before="75" w:after="0"/>
      </w:pPr>
      <w:r>
        <w:rPr/>
        <w:t xml:space="preserve">第三节 产业政策调整风险</w:t>
      </w:r>
    </w:p>
    <w:p>
      <w:pPr>
        <w:spacing w:before="75" w:after="0"/>
      </w:pPr>
      <w:r>
        <w:rPr/>
        <w:t xml:space="preserve">一、房地产调控政策对底层资产流动性的外溢</w:t>
      </w:r>
    </w:p>
    <w:p>
      <w:pPr>
        <w:spacing w:before="75" w:after="0"/>
      </w:pPr>
      <w:r>
        <w:rPr/>
        <w:t xml:space="preserve">二、地方政府债务化解对基础设施reits付费模式的影响</w:t>
      </w:r>
    </w:p>
    <w:p>
      <w:pPr>
        <w:spacing w:before="75" w:after="0"/>
      </w:pPr>
      <w:r>
        <w:rPr/>
        <w:t xml:space="preserve">三、租赁住房政策对收益增长的刚性约束</w:t>
      </w:r>
    </w:p>
    <w:p>
      <w:pPr>
        <w:spacing w:before="75" w:after="0"/>
      </w:pPr>
      <w:r>
        <w:rPr/>
        <w:t xml:space="preserve">第四节 流动性与集中度风险</w:t>
      </w:r>
    </w:p>
    <w:p>
      <w:pPr>
        <w:spacing w:before="75" w:after="0"/>
      </w:pPr>
      <w:r>
        <w:rPr/>
        <w:t xml:space="preserve">一、reits日均成交额与规模的流动性错配</w:t>
      </w:r>
    </w:p>
    <w:p>
      <w:pPr>
        <w:spacing w:before="75" w:after="0"/>
      </w:pPr>
      <w:r>
        <w:rPr/>
        <w:t xml:space="preserve">二、同质化资产集中发行导致估值内卷</w:t>
      </w:r>
    </w:p>
    <w:p>
      <w:pPr>
        <w:spacing w:before="75" w:after="0"/>
      </w:pPr>
      <w:r>
        <w:rPr/>
        <w:t xml:space="preserve">三、突发舆情对reits价格的流动性挤兑</w:t>
      </w:r>
    </w:p>
    <w:p>
      <w:pPr>
        <w:spacing w:before="75" w:after="0"/>
      </w:pPr>
      <w:r>
        <w:rPr>
          <w:b w:val="1"/>
          <w:bCs w:val="1"/>
        </w:rPr>
        <w:t xml:space="preserve">第十八章 2026-2031年发展趋势前瞻预测</w:t>
      </w:r>
    </w:p>
    <w:p>
      <w:pPr>
        <w:spacing w:before="75" w:after="0"/>
      </w:pPr>
      <w:r>
        <w:rPr/>
        <w:t xml:space="preserve">第一节 市场规模与结构预测</w:t>
      </w:r>
    </w:p>
    <w:p>
      <w:pPr>
        <w:spacing w:before="75" w:after="0"/>
      </w:pPr>
      <w:r>
        <w:rPr/>
        <w:t xml:space="preserve">一、中国商业不动产reits发行规模及复合增长率</w:t>
      </w:r>
    </w:p>
    <w:p>
      <w:pPr>
        <w:spacing w:before="75" w:after="0"/>
      </w:pPr>
      <w:r>
        <w:rPr/>
        <w:t xml:space="preserve">二、底层资产类型结构演变趋势</w:t>
      </w:r>
    </w:p>
    <w:p>
      <w:pPr>
        <w:spacing w:before="75" w:after="0"/>
      </w:pPr>
      <w:r>
        <w:rPr/>
        <w:t xml:space="preserve">三、pre-reits市场规模与reits发行转化率预测</w:t>
      </w:r>
    </w:p>
    <w:p>
      <w:pPr>
        <w:spacing w:before="75" w:after="0"/>
      </w:pPr>
      <w:r>
        <w:rPr/>
        <w:t xml:space="preserve">第二节 制度环境优化方向</w:t>
      </w:r>
    </w:p>
    <w:p>
      <w:pPr>
        <w:spacing w:before="75" w:after="0"/>
      </w:pPr>
      <w:r>
        <w:rPr/>
        <w:t xml:space="preserve">一、reits专项立法出台对税收、治理的全面提升</w:t>
      </w:r>
    </w:p>
    <w:p>
      <w:pPr>
        <w:spacing w:before="75" w:after="0"/>
      </w:pPr>
      <w:r>
        <w:rPr/>
        <w:t xml:space="preserve">二、投资者范围扩大对长期资金供给</w:t>
      </w:r>
    </w:p>
    <w:p>
      <w:pPr>
        <w:spacing w:before="75" w:after="0"/>
      </w:pPr>
      <w:r>
        <w:rPr/>
        <w:t xml:space="preserve">三、底层资产范围扩容的政策突破时点</w:t>
      </w:r>
    </w:p>
    <w:p>
      <w:pPr>
        <w:spacing w:before="75" w:after="0"/>
      </w:pPr>
      <w:r>
        <w:rPr/>
        <w:t xml:space="preserve">第三节 市场机制深化趋势</w:t>
      </w:r>
    </w:p>
    <w:p>
      <w:pPr>
        <w:spacing w:before="75" w:after="0"/>
      </w:pPr>
      <w:r>
        <w:rPr/>
        <w:t xml:space="preserve">一、reits指数编制与etf产品推出的市场影响</w:t>
      </w:r>
    </w:p>
    <w:p>
      <w:pPr>
        <w:spacing w:before="75" w:after="0"/>
      </w:pPr>
      <w:r>
        <w:rPr/>
        <w:t xml:space="preserve">二、做市商制度优化对流动性改善的边际效应</w:t>
      </w:r>
    </w:p>
    <w:p>
      <w:pPr>
        <w:spacing w:before="75" w:after="0"/>
      </w:pPr>
      <w:r>
        <w:rPr/>
        <w:t xml:space="preserve">三、reits管理人与运营管理机构的专业化分工深化</w:t>
      </w:r>
    </w:p>
    <w:p>
      <w:pPr>
        <w:spacing w:before="75" w:after="0"/>
      </w:pPr>
      <w:r>
        <w:rPr/>
        <w:t xml:space="preserve">第四节 底层资产品质升级</w:t>
      </w:r>
    </w:p>
    <w:p>
      <w:pPr>
        <w:spacing w:before="75" w:after="0"/>
      </w:pPr>
      <w:r>
        <w:rPr/>
        <w:t xml:space="preserve">一、绿色建筑认证对存量资产改造投资要求</w:t>
      </w:r>
    </w:p>
    <w:p>
      <w:pPr>
        <w:spacing w:before="75" w:after="0"/>
      </w:pPr>
      <w:r>
        <w:rPr/>
        <w:t xml:space="preserve">二、智能化运营对运营成本降低与租金溢价</w:t>
      </w:r>
    </w:p>
    <w:p>
      <w:pPr>
        <w:spacing w:before="75" w:after="0"/>
      </w:pPr>
      <w:r>
        <w:rPr/>
        <w:t xml:space="preserve">三、租户esg表现对reits整体esg评级的传导</w:t>
      </w:r>
    </w:p>
    <w:p>
      <w:pPr>
        <w:spacing w:before="75" w:after="0"/>
      </w:pPr>
      <w:r>
        <w:rPr>
          <w:b w:val="1"/>
          <w:bCs w:val="1"/>
        </w:rPr>
        <w:t xml:space="preserve">第十九章 投资价值评估与机会矩阵</w:t>
      </w:r>
    </w:p>
    <w:p>
      <w:pPr>
        <w:spacing w:before="75" w:after="0"/>
      </w:pPr>
      <w:r>
        <w:rPr/>
        <w:t xml:space="preserve">第一节 细分领域投资吸引力排序</w:t>
      </w:r>
    </w:p>
    <w:p>
      <w:pPr>
        <w:spacing w:before="75" w:after="0"/>
      </w:pPr>
      <w:r>
        <w:rPr/>
        <w:t xml:space="preserve">一、物流仓储reits：高股息、高成长，风险收益比最优</w:t>
      </w:r>
    </w:p>
    <w:p>
      <w:pPr>
        <w:spacing w:before="75" w:after="0"/>
      </w:pPr>
      <w:r>
        <w:rPr/>
        <w:t xml:space="preserve">二、产业园区reits：政策支持强、租户稳定，现金流确定性强</w:t>
      </w:r>
    </w:p>
    <w:p>
      <w:pPr>
        <w:spacing w:before="75" w:after="0"/>
      </w:pPr>
      <w:r>
        <w:rPr/>
        <w:t xml:space="preserve">三、保障性租赁住房reits：政策托底、需求刚性，适合长期配置</w:t>
      </w:r>
    </w:p>
    <w:p>
      <w:pPr>
        <w:spacing w:before="75" w:after="0"/>
      </w:pPr>
      <w:r>
        <w:rPr/>
        <w:t xml:space="preserve">四、购物中心reits：消费复苏弹性大，但运营能力分化显著</w:t>
      </w:r>
    </w:p>
    <w:p>
      <w:pPr>
        <w:spacing w:before="75" w:after="0"/>
      </w:pPr>
      <w:r>
        <w:rPr/>
        <w:t xml:space="preserve">五、写字楼reits：短期承压，估值修复需等待供给出清</w:t>
      </w:r>
    </w:p>
    <w:p>
      <w:pPr>
        <w:spacing w:before="75" w:after="0"/>
      </w:pPr>
      <w:r>
        <w:rPr/>
        <w:t xml:space="preserve">第二节 产业链环节价值分布</w:t>
      </w:r>
    </w:p>
    <w:p>
      <w:pPr>
        <w:spacing w:before="75" w:after="0"/>
      </w:pPr>
      <w:r>
        <w:rPr/>
        <w:t xml:space="preserve">一、pre-reits阶段内部收益率高于reits持有期</w:t>
      </w:r>
    </w:p>
    <w:p>
      <w:pPr>
        <w:spacing w:before="75" w:after="0"/>
      </w:pPr>
      <w:r>
        <w:rPr/>
        <w:t xml:space="preserve">二、管理费率与管理规模、难度相关性</w:t>
      </w:r>
    </w:p>
    <w:p>
      <w:pPr>
        <w:spacing w:before="75" w:after="0"/>
      </w:pPr>
      <w:r>
        <w:rPr/>
        <w:t xml:space="preserve">三、运营管理机构利润率与资产质量挂钩</w:t>
      </w:r>
    </w:p>
    <w:p>
      <w:pPr>
        <w:spacing w:before="75" w:after="0"/>
      </w:pPr>
      <w:r>
        <w:rPr/>
        <w:t xml:space="preserve">第三节 投资时机与择时策略</w:t>
      </w:r>
    </w:p>
    <w:p>
      <w:pPr>
        <w:spacing w:before="75" w:after="0"/>
      </w:pPr>
      <w:r>
        <w:rPr/>
        <w:t xml:space="preserve">一、首发认购与二级市场抄底的时机</w:t>
      </w:r>
    </w:p>
    <w:p>
      <w:pPr>
        <w:spacing w:before="75" w:after="0"/>
      </w:pPr>
      <w:r>
        <w:rPr/>
        <w:t xml:space="preserve">二、扩募前与扩募后的估值波动</w:t>
      </w:r>
    </w:p>
    <w:p>
      <w:pPr>
        <w:spacing w:before="75" w:after="0"/>
      </w:pPr>
      <w:r>
        <w:rPr/>
        <w:t xml:space="preserve">三、利率拐点对reits估值的整体抬升</w:t>
      </w:r>
    </w:p>
    <w:p>
      <w:pPr>
        <w:spacing w:before="75" w:after="0"/>
      </w:pPr>
      <w:r>
        <w:rPr>
          <w:b w:val="1"/>
          <w:bCs w:val="1"/>
        </w:rPr>
        <w:t xml:space="preserve">第二十章 战略发展路径与实施建议</w:t>
      </w:r>
    </w:p>
    <w:p>
      <w:pPr>
        <w:spacing w:before="75" w:after="0"/>
      </w:pPr>
      <w:r>
        <w:rPr/>
        <w:t xml:space="preserve">第一节 原始权益人层面</w:t>
      </w:r>
    </w:p>
    <w:p>
      <w:pPr>
        <w:spacing w:before="75" w:after="0"/>
      </w:pPr>
      <w:r>
        <w:rPr/>
        <w:t xml:space="preserve">一、资产筛选与培育的标准化流程搭建</w:t>
      </w:r>
    </w:p>
    <w:p>
      <w:pPr>
        <w:spacing w:before="75" w:after="0"/>
      </w:pPr>
      <w:r>
        <w:rPr/>
        <w:t xml:space="preserve">二、轻重分离与资本循环的协同</w:t>
      </w:r>
    </w:p>
    <w:p>
      <w:pPr>
        <w:spacing w:before="75" w:after="0"/>
      </w:pPr>
      <w:r>
        <w:rPr/>
        <w:t xml:space="preserve">三、扩募储备库的动态管理与合规性维护</w:t>
      </w:r>
    </w:p>
    <w:p>
      <w:pPr>
        <w:spacing w:before="75" w:after="0"/>
      </w:pPr>
      <w:r>
        <w:rPr/>
        <w:t xml:space="preserve">第二节 管理人层面</w:t>
      </w:r>
    </w:p>
    <w:p>
      <w:pPr>
        <w:spacing w:before="75" w:after="0"/>
      </w:pPr>
      <w:r>
        <w:rPr/>
        <w:t xml:space="preserve">一、主动管理能力的构建与考核</w:t>
      </w:r>
    </w:p>
    <w:p>
      <w:pPr>
        <w:spacing w:before="75" w:after="0"/>
      </w:pPr>
      <w:r>
        <w:rPr/>
        <w:t xml:space="preserve">二、投资者关系管理与市值维护机制</w:t>
      </w:r>
    </w:p>
    <w:p>
      <w:pPr>
        <w:spacing w:before="75" w:after="0"/>
      </w:pPr>
      <w:r>
        <w:rPr/>
        <w:t xml:space="preserve">三、数字化平台的投资与赋能</w:t>
      </w:r>
    </w:p>
    <w:p>
      <w:pPr>
        <w:spacing w:before="75" w:after="0"/>
      </w:pPr>
      <w:r>
        <w:rPr/>
        <w:t xml:space="preserve">第三节 运营管理机构层面</w:t>
      </w:r>
    </w:p>
    <w:p>
      <w:pPr>
        <w:spacing w:before="75" w:after="0"/>
      </w:pPr>
      <w:r>
        <w:rPr/>
        <w:t xml:space="preserve">一、基础运营的标准化与精细化</w:t>
      </w:r>
    </w:p>
    <w:p>
      <w:pPr>
        <w:spacing w:before="75" w:after="0"/>
      </w:pPr>
      <w:r>
        <w:rPr/>
        <w:t xml:space="preserve">二、增值服务的盈利模式探索</w:t>
      </w:r>
    </w:p>
    <w:p>
      <w:pPr>
        <w:spacing w:before="75" w:after="0"/>
      </w:pPr>
      <w:r>
        <w:rPr/>
        <w:t xml:space="preserve">三、品牌输出的规模化路径</w:t>
      </w:r>
    </w:p>
    <w:p>
      <w:pPr>
        <w:spacing w:before="75" w:after="0"/>
      </w:pPr>
      <w:r>
        <w:rPr/>
        <w:t xml:space="preserve">第四节 投资者层面</w:t>
      </w:r>
    </w:p>
    <w:p>
      <w:pPr>
        <w:spacing w:before="75" w:after="0"/>
      </w:pPr>
      <w:r>
        <w:rPr/>
        <w:t xml:space="preserve">一、长期投资者的reits配置策略</w:t>
      </w:r>
    </w:p>
    <w:p>
      <w:pPr>
        <w:spacing w:before="75" w:after="0"/>
      </w:pPr>
      <w:r>
        <w:rPr/>
        <w:t xml:space="preserve">二、个人投资者的reits定投与分红再投资</w:t>
      </w:r>
    </w:p>
    <w:p>
      <w:pPr>
        <w:spacing w:before="75" w:after="0"/>
      </w:pPr>
      <w:r>
        <w:rPr/>
        <w:t xml:space="preserve">三、fof产品将reits作为另类资产配置的比例</w:t>
      </w:r>
    </w:p>
    <w:p>
      <w:pPr>
        <w:spacing w:before="75" w:after="0"/>
      </w:pPr>
      <w:r>
        <w:rPr>
          <w:b w:val="1"/>
          <w:bCs w:val="1"/>
        </w:rPr>
        <w:t xml:space="preserve">第二十一章 典型案例模式研究</w:t>
      </w:r>
    </w:p>
    <w:p>
      <w:pPr>
        <w:spacing w:before="75" w:after="0"/>
      </w:pPr>
      <w:r>
        <w:rPr/>
        <w:t xml:space="preserve">第一节 物流仓储reits模式</w:t>
      </w:r>
    </w:p>
    <w:p>
      <w:pPr>
        <w:spacing w:before="75" w:after="0"/>
      </w:pPr>
      <w:r>
        <w:rPr/>
        <w:t xml:space="preserve">一、选址与租金溢价的关系</w:t>
      </w:r>
    </w:p>
    <w:p>
      <w:pPr>
        <w:spacing w:before="75" w:after="0"/>
      </w:pPr>
      <w:r>
        <w:rPr/>
        <w:t xml:space="preserve">二、租户结构稳定性与租约长度匹配</w:t>
      </w:r>
    </w:p>
    <w:p>
      <w:pPr>
        <w:spacing w:before="75" w:after="0"/>
      </w:pPr>
      <w:r>
        <w:rPr/>
        <w:t xml:space="preserve">三、扩募路径与资产区域分散化策略</w:t>
      </w:r>
    </w:p>
    <w:p>
      <w:pPr>
        <w:spacing w:before="75" w:after="0"/>
      </w:pPr>
      <w:r>
        <w:rPr/>
        <w:t xml:space="preserve">第二节 产业园区reits模式</w:t>
      </w:r>
    </w:p>
    <w:p>
      <w:pPr>
        <w:spacing w:before="75" w:after="0"/>
      </w:pPr>
      <w:r>
        <w:rPr/>
        <w:t xml:space="preserve">一、产业定位与招商策略协同</w:t>
      </w:r>
    </w:p>
    <w:p>
      <w:pPr>
        <w:spacing w:before="75" w:after="0"/>
      </w:pPr>
      <w:r>
        <w:rPr/>
        <w:t xml:space="preserve">二、租金定价权与增值服务收益平衡</w:t>
      </w:r>
    </w:p>
    <w:p>
      <w:pPr>
        <w:spacing w:before="75" w:after="0"/>
      </w:pPr>
      <w:r>
        <w:rPr/>
        <w:t xml:space="preserve">三、资产储备与扩募节奏规划</w:t>
      </w:r>
    </w:p>
    <w:p>
      <w:pPr>
        <w:spacing w:before="75" w:after="0"/>
      </w:pPr>
      <w:r>
        <w:rPr/>
        <w:t xml:space="preserve">第三节 购物中心reits模式</w:t>
      </w:r>
    </w:p>
    <w:p>
      <w:pPr>
        <w:spacing w:before="75" w:after="0"/>
      </w:pPr>
      <w:r>
        <w:rPr/>
        <w:t xml:space="preserve">一、核心商圈客流虹吸效应与租金坪效支撑</w:t>
      </w:r>
    </w:p>
    <w:p>
      <w:pPr>
        <w:spacing w:before="75" w:after="0"/>
      </w:pPr>
      <w:r>
        <w:rPr/>
        <w:t xml:space="preserve">二、品牌焕新投入与租金调升的关系</w:t>
      </w:r>
    </w:p>
    <w:p>
      <w:pPr>
        <w:spacing w:before="75" w:after="0"/>
      </w:pPr>
      <w:r>
        <w:rPr/>
        <w:t xml:space="preserve">三、资产证券化前资产剥离的定价公允性</w:t>
      </w:r>
    </w:p>
    <w:p>
      <w:pPr>
        <w:spacing w:before="75" w:after="0"/>
      </w:pPr>
      <w:r>
        <w:rPr>
          <w:b w:val="1"/>
          <w:bCs w:val="1"/>
        </w:rPr>
        <w:t xml:space="preserve">第二十二章 政策环境优化展望与建议</w:t>
      </w:r>
    </w:p>
    <w:p>
      <w:pPr>
        <w:spacing w:before="75" w:after="0"/>
      </w:pPr>
      <w:r>
        <w:rPr/>
        <w:t xml:space="preserve">第一节 立法层面</w:t>
      </w:r>
    </w:p>
    <w:p>
      <w:pPr>
        <w:spacing w:before="75" w:after="0"/>
      </w:pPr>
      <w:r>
        <w:rPr/>
        <w:t xml:space="preserve">一、reits专项法与相关法律的衔接</w:t>
      </w:r>
    </w:p>
    <w:p>
      <w:pPr>
        <w:spacing w:before="75" w:after="0"/>
      </w:pPr>
      <w:r>
        <w:rPr/>
        <w:t xml:space="preserve">二、税收透明机制的制度化保障</w:t>
      </w:r>
    </w:p>
    <w:p>
      <w:pPr>
        <w:spacing w:before="75" w:after="0"/>
      </w:pPr>
      <w:r>
        <w:rPr/>
        <w:t xml:space="preserve">三、投资者保护机制的引入</w:t>
      </w:r>
    </w:p>
    <w:p>
      <w:pPr>
        <w:spacing w:before="75" w:after="0"/>
      </w:pPr>
      <w:r>
        <w:rPr/>
        <w:t xml:space="preserve">第二节 监管层面</w:t>
      </w:r>
    </w:p>
    <w:p>
      <w:pPr>
        <w:spacing w:before="75" w:after="0"/>
      </w:pPr>
      <w:r>
        <w:rPr/>
        <w:t xml:space="preserve">一、底层资产范围动态扩容的评估标准</w:t>
      </w:r>
    </w:p>
    <w:p>
      <w:pPr>
        <w:spacing w:before="75" w:after="0"/>
      </w:pPr>
      <w:r>
        <w:rPr/>
        <w:t xml:space="preserve">二、扩募审核流程简化与信息披露要求平衡</w:t>
      </w:r>
    </w:p>
    <w:p>
      <w:pPr>
        <w:spacing w:before="75" w:after="0"/>
      </w:pPr>
      <w:r>
        <w:rPr/>
        <w:t xml:space="preserve">三、关联交易的定价指引与监管沙盒</w:t>
      </w:r>
    </w:p>
    <w:p>
      <w:pPr>
        <w:spacing w:before="75" w:after="0"/>
      </w:pPr>
      <w:r>
        <w:rPr/>
        <w:t xml:space="preserve">第三节 市场层面</w:t>
      </w:r>
    </w:p>
    <w:p>
      <w:pPr>
        <w:spacing w:before="75" w:after="0"/>
      </w:pPr>
      <w:r>
        <w:rPr/>
        <w:t xml:space="preserve">一、长期资金投资比例限制的放宽</w:t>
      </w:r>
    </w:p>
    <w:p>
      <w:pPr>
        <w:spacing w:before="75" w:after="0"/>
      </w:pPr>
      <w:r>
        <w:rPr/>
        <w:t xml:space="preserve">二、试点向全面推广的过渡期安排</w:t>
      </w:r>
    </w:p>
    <w:p>
      <w:pPr>
        <w:spacing w:before="75" w:after="0"/>
      </w:pPr>
      <w:r>
        <w:rPr/>
        <w:t xml:space="preserve">三、跨境reits与外资准入的制度创新</w:t>
      </w:r>
    </w:p>
    <w:p>
      <w:pPr>
        <w:spacing w:before="75" w:after="0"/>
      </w:pPr>
      <w:r>
        <w:rPr/>
        <w:t xml:space="preserve">第四节 配套层面</w:t>
      </w:r>
    </w:p>
    <w:p>
      <w:pPr>
        <w:spacing w:before="75" w:after="0"/>
      </w:pPr>
      <w:r>
        <w:rPr/>
        <w:t xml:space="preserve">一、pre-reits与reits之间资产转让的税收优惠政策</w:t>
      </w:r>
    </w:p>
    <w:p>
      <w:pPr>
        <w:spacing w:before="75" w:after="0"/>
      </w:pPr>
      <w:r>
        <w:rPr/>
        <w:t xml:space="preserve">二、reits份额作为融资工具的可行性</w:t>
      </w:r>
    </w:p>
    <w:p>
      <w:pPr>
        <w:spacing w:before="75" w:after="0"/>
      </w:pPr>
      <w:r>
        <w:rPr/>
        <w:t xml:space="preserve">三、reits指数与etf产品的推出时机与编制方案</w:t>
      </w:r>
    </w:p>
    <w:p>
      <w:pPr>
        <w:spacing w:before="75" w:after="0"/>
      </w:pPr>
      <w:r>
        <w:rPr>
          <w:b w:val="1"/>
          <w:bCs w:val="1"/>
        </w:rPr>
        <w:t xml:space="preserve">第二十三章 研究结论与中长期展望</w:t>
      </w:r>
    </w:p>
    <w:p>
      <w:pPr>
        <w:spacing w:before="75" w:after="0"/>
      </w:pPr>
      <w:r>
        <w:rPr/>
        <w:t xml:space="preserve">第一节 核心发现总结</w:t>
      </w:r>
    </w:p>
    <w:p>
      <w:pPr>
        <w:spacing w:before="75" w:after="0"/>
      </w:pPr>
      <w:r>
        <w:rPr/>
        <w:t xml:space="preserve">一、商业不动产reits从试点走向成熟的黄金五年</w:t>
      </w:r>
    </w:p>
    <w:p>
      <w:pPr>
        <w:spacing w:before="75" w:after="0"/>
      </w:pPr>
      <w:r>
        <w:rPr/>
        <w:t xml:space="preserve">二、pre-reits-reits闭环构建将盘活万亿级存量资产</w:t>
      </w:r>
    </w:p>
    <w:p>
      <w:pPr>
        <w:spacing w:before="75" w:after="0"/>
      </w:pPr>
      <w:r>
        <w:rPr/>
        <w:t xml:space="preserve">三、运营管理能力将是reits估值分化核心</w:t>
      </w:r>
    </w:p>
    <w:p>
      <w:pPr>
        <w:spacing w:before="75" w:after="0"/>
      </w:pPr>
      <w:r>
        <w:rPr/>
        <w:t xml:space="preserve">第二节 未来五年关键变量</w:t>
      </w:r>
    </w:p>
    <w:p>
      <w:pPr>
        <w:spacing w:before="75" w:after="0"/>
      </w:pPr>
      <w:r>
        <w:rPr/>
        <w:t xml:space="preserve">一、利率周期对reits估值的系统性提升</w:t>
      </w:r>
    </w:p>
    <w:p>
      <w:pPr>
        <w:spacing w:before="75" w:after="0"/>
      </w:pPr>
      <w:r>
        <w:rPr/>
        <w:t xml:space="preserve">二、底层资产范围扩容的政策突破时点</w:t>
      </w:r>
    </w:p>
    <w:p>
      <w:pPr>
        <w:spacing w:before="75" w:after="0"/>
      </w:pPr>
      <w:r>
        <w:rPr/>
        <w:t xml:space="preserve">三、esg评级对长期资金配置的权重</w:t>
      </w:r>
    </w:p>
    <w:p>
      <w:pPr>
        <w:spacing w:before="75" w:after="0"/>
      </w:pPr>
      <w:r>
        <w:rPr/>
        <w:t xml:space="preserve">第三节 中长期展望</w:t>
      </w:r>
    </w:p>
    <w:p>
      <w:pPr>
        <w:spacing w:before="75" w:after="0"/>
      </w:pPr>
      <w:r>
        <w:rPr/>
        <w:t xml:space="preserve">一、中国reits市场规模在全球市场中的占比</w:t>
      </w:r>
    </w:p>
    <w:p>
      <w:pPr>
        <w:spacing w:before="75" w:after="0"/>
      </w:pPr>
      <w:r>
        <w:rPr/>
        <w:t xml:space="preserve">二、reits作为不动产定价锚对行业定价体系的颠覆</w:t>
      </w:r>
    </w:p>
    <w:p>
      <w:pPr>
        <w:spacing w:before="75" w:after="0"/>
      </w:pPr>
      <w:r>
        <w:rPr/>
        <w:t xml:space="preserve">三、从资产持有型向开发型转型的可能性</w:t>
      </w:r>
    </w:p>
    <w:p>
      <w:pPr>
        <w:spacing w:before="75" w:after="0"/>
      </w:pPr>
      <w:r>
        <w:rPr/>
        <w:t xml:space="preserve">第四节 对参与各方的终极建议</w:t>
      </w:r>
    </w:p>
    <w:p>
      <w:pPr>
        <w:spacing w:before="75" w:after="0"/>
      </w:pPr>
      <w:r>
        <w:rPr/>
        <w:t xml:space="preserve">一、原始权益人：资产盘活与资本循环的战略工具</w:t>
      </w:r>
    </w:p>
    <w:p>
      <w:pPr>
        <w:spacing w:before="75" w:after="0"/>
      </w:pPr>
      <w:r>
        <w:rPr/>
        <w:t xml:space="preserve">二、管理人：专业能力与信义义务的核心坚守</w:t>
      </w:r>
    </w:p>
    <w:p>
      <w:pPr>
        <w:spacing w:before="75" w:after="0"/>
      </w:pPr>
      <w:r>
        <w:rPr/>
        <w:t xml:space="preserve">三、投资者：长期配置与价值发现的投资蓝海</w:t>
      </w:r>
    </w:p>
    <w:p>
      <w:pPr>
        <w:spacing w:before="75" w:after="0"/>
      </w:pPr>
      <w:r>
        <w:rPr>
          <w:b w:val="1"/>
          <w:bCs w:val="1"/>
        </w:rPr>
        <w:t xml:space="preserve">图表目录</w:t>
      </w:r>
    </w:p>
    <w:p>
      <w:pPr>
        <w:spacing w:before="75" w:after="0"/>
      </w:pPr>
      <w:r>
        <w:rPr/>
        <w:t xml:space="preserve">图表：商业不动产reits双层架构(公募基金+abs)与现金流分配</w:t>
      </w:r>
    </w:p>
    <w:p>
      <w:pPr>
        <w:spacing w:before="75" w:after="0"/>
      </w:pPr>
      <w:r>
        <w:rPr/>
        <w:t xml:space="preserve">图表：2023-2025年中国公募reits发行数量、规模及底层资产类型分布</w:t>
      </w:r>
    </w:p>
    <w:p>
      <w:pPr>
        <w:spacing w:before="75" w:after="0"/>
      </w:pPr>
      <w:r>
        <w:rPr/>
        <w:t xml:space="preserve">图表：2023-2025年全球主要reits市场(美/新/港)总市值与股息率对比</w:t>
      </w:r>
    </w:p>
    <w:p>
      <w:pPr>
        <w:spacing w:before="75" w:after="0"/>
      </w:pPr>
      <w:r>
        <w:rPr/>
        <w:t xml:space="preserve">图表：海外成熟reits制度设计对比(税收/治理/投资范围)</w:t>
      </w:r>
    </w:p>
    <w:p>
      <w:pPr>
        <w:spacing w:before="75" w:after="0"/>
      </w:pPr>
      <w:r>
        <w:rPr/>
        <w:t xml:space="preserve">图表：中国十年期国债收益率与reits股息率利差变化趋势</w:t>
      </w:r>
    </w:p>
    <w:p>
      <w:pPr>
        <w:spacing w:before="75" w:after="0"/>
      </w:pPr>
      <w:r>
        <w:rPr/>
        <w:t xml:space="preserve">图表：不同类型底层资产reits(产业园/物流/保租房)风险收益特征</w:t>
      </w:r>
    </w:p>
    <w:p>
      <w:pPr>
        <w:spacing w:before="75" w:after="0"/>
      </w:pPr>
      <w:r>
        <w:rPr/>
        <w:t xml:space="preserve">图表：商业不动产reits产业链价值分配与核心参与方权责利关系</w:t>
      </w:r>
    </w:p>
    <w:p>
      <w:pPr>
        <w:spacing w:before="75" w:after="0"/>
      </w:pPr>
      <w:r>
        <w:rPr/>
        <w:t xml:space="preserve">图表：2023-2025年reits战略配售比例与公众中签率散点图</w:t>
      </w:r>
    </w:p>
    <w:p>
      <w:pPr>
        <w:spacing w:before="75" w:after="0"/>
      </w:pPr>
      <w:r>
        <w:rPr/>
        <w:t xml:space="preserve">图表：2026-2031年潜在reits供给规模预测(分资产类型)</w:t>
      </w:r>
    </w:p>
    <w:p>
      <w:pPr>
        <w:spacing w:before="75" w:after="0"/>
      </w:pPr>
      <w:r>
        <w:rPr/>
        <w:t xml:space="preserve">图表：购物中心reits租金结构(固定/gto)占比与坪效分析</w:t>
      </w:r>
    </w:p>
    <w:p>
      <w:pPr>
        <w:spacing w:before="75" w:after="0"/>
      </w:pPr>
      <w:r>
        <w:rPr/>
        <w:t xml:space="preserve">图表：一二线城市核心商圈购物中心noi率与资本化率对比</w:t>
      </w:r>
    </w:p>
    <w:p>
      <w:pPr>
        <w:spacing w:before="75" w:after="0"/>
      </w:pPr>
      <w:r>
        <w:rPr/>
        <w:t xml:space="preserve">图表：写字楼reits空置率与估值(p/nav)敏感性分析</w:t>
      </w:r>
    </w:p>
    <w:p>
      <w:pPr>
        <w:spacing w:before="75" w:after="0"/>
      </w:pPr>
      <w:r>
        <w:rPr/>
        <w:t xml:space="preserve">图表：产业园区reits产业集聚度与租金增长相关性评估</w:t>
      </w:r>
    </w:p>
    <w:p>
      <w:pPr>
        <w:spacing w:before="75" w:after="0"/>
      </w:pPr>
      <w:r>
        <w:rPr/>
        <w:t xml:space="preserve">图表：租赁住房reits续租率与租金调升幅度关联性</w:t>
      </w:r>
    </w:p>
    <w:p>
      <w:pPr>
        <w:spacing w:before="75" w:after="0"/>
      </w:pPr>
      <w:r>
        <w:rPr/>
        <w:t xml:space="preserve">图表：基础设施类reits(数据中心/物流)估值方法对比</w:t>
      </w:r>
    </w:p>
    <w:p>
      <w:pPr>
        <w:spacing w:before="75" w:after="0"/>
      </w:pPr>
      <w:r>
        <w:rPr/>
        <w:t xml:space="preserve">图表：保障性租赁住房reits租户结构(个人/企业)与稳定性</w:t>
      </w:r>
    </w:p>
    <w:p>
      <w:pPr>
        <w:spacing w:before="75" w:after="0"/>
      </w:pPr>
      <w:r>
        <w:rPr/>
        <w:t xml:space="preserve">图表：基础设施reits政府补贴收入占比与可持续性</w:t>
      </w:r>
    </w:p>
    <w:p>
      <w:pPr>
        <w:spacing w:before="75" w:after="0"/>
      </w:pPr>
      <w:r>
        <w:rPr/>
        <w:t xml:space="preserve">图表：数据中心reits机柜上架率与租金收入弹性系数</w:t>
      </w:r>
    </w:p>
    <w:p>
      <w:pPr>
        <w:spacing w:before="75" w:after="0"/>
      </w:pPr>
      <w:r>
        <w:rPr/>
        <w:t xml:space="preserve">图表：物流仓储reits租约长度与租金递增条款结构</w:t>
      </w:r>
    </w:p>
    <w:p>
      <w:pPr>
        <w:spacing w:before="75" w:after="0"/>
      </w:pPr>
      <w:r>
        <w:rPr/>
        <w:t xml:space="preserve">图表：二级市场reits折溢价率与投资者结构(机构/个人)关系</w:t>
      </w:r>
    </w:p>
    <w:p>
      <w:pPr>
        <w:spacing w:before="75" w:after="0"/>
      </w:pPr>
      <w:r>
        <w:rPr/>
        <w:t xml:space="preserve">图表：中国reits市场cr5管理人集中度变化(2023-2025)</w:t>
      </w:r>
    </w:p>
    <w:p>
      <w:pPr>
        <w:spacing w:before="75" w:after="0"/>
      </w:pPr>
      <w:r>
        <w:rPr/>
        <w:t xml:space="preserve">图表：原始权益人行业分布(地产/城投/产业)与资产质量评分</w:t>
      </w:r>
    </w:p>
    <w:p>
      <w:pPr>
        <w:spacing w:before="75" w:after="0"/>
      </w:pPr>
      <w:r>
        <w:rPr/>
        <w:t xml:space="preserve">图表：中国reits底层资产区域分布</w:t>
      </w:r>
    </w:p>
    <w:p>
      <w:pPr>
        <w:spacing w:before="75" w:after="0"/>
      </w:pPr>
      <w:r>
        <w:rPr/>
        <w:t xml:space="preserve">图表：重点城市商业不动产租金坪效与估值水平对比</w:t>
      </w:r>
    </w:p>
    <w:p>
      <w:pPr>
        <w:spacing w:before="75" w:after="0"/>
      </w:pPr>
      <w:r>
        <w:rPr/>
        <w:t xml:space="preserve">图表：reits管理费结构(固定/浮动)对管理行为激励效果</w:t>
      </w:r>
    </w:p>
    <w:p>
      <w:pPr>
        <w:spacing w:before="75" w:after="0"/>
      </w:pPr>
      <w:r>
        <w:rPr/>
        <w:t xml:space="preserve">图表：扩募定价折扣率与新老投资者权益摊薄测算</w:t>
      </w:r>
    </w:p>
    <w:p>
      <w:pPr>
        <w:spacing w:before="75" w:after="0"/>
      </w:pPr>
      <w:r>
        <w:rPr/>
        <w:t xml:space="preserve">图表：pre-reits基金irr与reits发行估值倍数关系</w:t>
      </w:r>
    </w:p>
    <w:p>
      <w:pPr>
        <w:spacing w:before="75" w:after="0"/>
      </w:pPr>
      <w:r>
        <w:rPr/>
        <w:t xml:space="preserve">图表：reits杠杆工具(借款/并购贷)使用边界与利率成本</w:t>
      </w:r>
    </w:p>
    <w:p>
      <w:pPr>
        <w:spacing w:before="75" w:after="0"/>
      </w:pPr>
      <w:r>
        <w:rPr/>
        <w:t xml:space="preserve">图表：底层资产租户集中度风险敞口评估</w:t>
      </w:r>
    </w:p>
    <w:p>
      <w:pPr>
        <w:spacing w:before="75" w:after="0"/>
      </w:pPr>
      <w:r>
        <w:rPr/>
        <w:t xml:space="preserve">图表：管理人关联交易定价公允性核查要点</w:t>
      </w:r>
    </w:p>
    <w:p>
      <w:pPr>
        <w:spacing w:before="75" w:after="0"/>
      </w:pPr>
      <w:r>
        <w:rPr/>
        <w:t xml:space="preserve">图表：房地产市场周期对reits底层资产nav减值幅度</w:t>
      </w:r>
    </w:p>
    <w:p>
      <w:pPr>
        <w:spacing w:before="75" w:after="0"/>
      </w:pPr>
      <w:r>
        <w:rPr/>
        <w:t xml:space="preserve">图表：2026-2031年中国reits市场规模情景预测</w:t>
      </w:r>
    </w:p>
    <w:p>
      <w:pPr>
        <w:spacing w:before="75" w:after="0"/>
      </w:pPr>
      <w:r>
        <w:rPr/>
        <w:t xml:space="preserve">图表：底层资产类型结构演变(产业园/物流占比提升)</w:t>
      </w:r>
    </w:p>
    <w:p>
      <w:pPr>
        <w:spacing w:before="75" w:after="0"/>
      </w:pPr>
      <w:r>
        <w:rPr/>
        <w:t xml:space="preserve">图表：细分领域reits投资吸引力四象限矩阵(风险-收益-成长)</w:t>
      </w:r>
    </w:p>
    <w:p>
      <w:pPr>
        <w:spacing w:before="75" w:after="0"/>
      </w:pPr>
      <w:r>
        <w:rPr/>
        <w:t xml:space="preserve">图表：reits产业链环节(pre-reits/管理/运营)价值分布</w:t>
      </w:r>
    </w:p>
    <w:p>
      <w:pPr>
        <w:spacing w:before="75" w:after="0"/>
      </w:pPr>
      <w:r>
        <w:rPr/>
        <w:t xml:space="preserve">图表：原始权益人资产筛选与pre-reits培育标准化流程</w:t>
      </w:r>
    </w:p>
    <w:p>
      <w:pPr>
        <w:spacing w:before="75" w:after="0"/>
      </w:pPr>
      <w:r>
        <w:rPr/>
        <w:t xml:space="preserve">图表：管理人主动管理能力(租户调整)对noi提升效果</w:t>
      </w:r>
    </w:p>
    <w:p>
      <w:pPr>
        <w:spacing w:before="75" w:after="0"/>
      </w:pPr>
      <w:r>
        <w:rPr/>
        <w:t xml:space="preserve">图表：物流仓储reits扩募路径与资产区域分散化策略</w:t>
      </w:r>
    </w:p>
    <w:p>
      <w:pPr>
        <w:spacing w:before="75" w:after="0"/>
      </w:pPr>
      <w:r>
        <w:rPr/>
        <w:t xml:space="preserve">图表：产业园区reits产业定位与招商协同效应评估</w:t>
      </w:r>
    </w:p>
    <w:p>
      <w:pPr>
        <w:spacing w:before="75" w:after="0"/>
      </w:pPr>
      <w:r>
        <w:rPr/>
        <w:t xml:space="preserve">图表：reits立法(税收透明)对估值溢价(p/nav)提升路径</w:t>
      </w:r>
    </w:p>
    <w:p>
      <w:pPr>
        <w:spacing w:before="75" w:after="0"/>
      </w:pPr>
      <w:r>
        <w:rPr/>
        <w:t xml:space="preserve">图表：中国reits中长期发展目标(2030年)达成度预测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2026-2031年中国商业不动产REITs行业全景调研与发展趋势预测报告</dc:title>
  <dc:description>2026-2031年中国商业不动产REITs行业全景调研与发展趋势预测报告</dc:description>
  <dc:subject>2026-2031年中国商业不动产REITs行业全景调研与发展趋势预测报告</dc:subject>
  <cp:keywords>研究报告</cp:keywords>
  <cp:category>研究报告</cp:category>
  <cp:lastModifiedBy>北京中道泰和信息咨询有限公司</cp:lastModifiedBy>
  <dcterms:created xsi:type="dcterms:W3CDTF">2026-03-23T12:51:47+08:00</dcterms:created>
  <dcterms:modified xsi:type="dcterms:W3CDTF">2026-03-23T12:51:47+08:00</dcterms:modified>
</cp:coreProperties>
</file>

<file path=docProps/custom.xml><?xml version="1.0" encoding="utf-8"?>
<Properties xmlns="http://schemas.openxmlformats.org/officeDocument/2006/custom-properties" xmlns:vt="http://schemas.openxmlformats.org/officeDocument/2006/docPropsVTypes"/>
</file>