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2026-2031年中国保险行业深度调研分析报告</w:t>
      </w:r>
    </w:p>
    <w:p>
      <w:pPr>
        <w:spacing w:after="150"/>
      </w:pPr>
      <w:r>
        <w:rPr>
          <w:b w:val="1"/>
          <w:bCs w:val="1"/>
        </w:rPr>
        <w:t xml:space="preserve">报告简介</w:t>
      </w:r>
    </w:p>
    <w:p>
      <w:pPr>
        <w:spacing w:after="150"/>
      </w:pPr>
      <w:r>
        <w:rPr/>
        <w:t xml:space="preserve">保险行业涵盖人身保险、财产保险、再保险及保险资管等核心板块，是通过风险汇聚、精算定价、资金运用与理赔服务，实现社会经济风险转移、损失补偿、资金融通与社会治理功能的综合性金融服务产业。保险行业是金融强国建设的三大支柱之一，具有负债经营、长期资金配置、强监管与社会治理嵌入性的独特属性，其发展质量直接关系到国家金融体系的稳健性、社会保障体系的完备性以及实体经济的抗风险韧性，在现代化经济体系中发挥不可替代的\"稳定器\"与\"助推器\"作用。</w:t>
      </w:r>
    </w:p>
    <w:p>
      <w:pPr>
        <w:spacing w:after="150"/>
      </w:pPr>
      <w:r>
        <w:rPr/>
        <w:t xml:space="preserve">当前，我国保险行业已进入深度调整与动能转换的攻坚阶段。人身险领域，在预定利率下调与\"报行合一\"政策影响下，行业主动压降负债成本，从\"趸交驱动\"转向\"期交价值\"增长模式，但利差损风险隐忧仍存，代理人队伍清虚提质仍在途中;财产险领域，车险综合改革成效显现，非车险占比持续提升，但自然灾害频发导致赔付压力加大，行业整体综合成本率承压。从市场格局看，头部险企凭借品牌、渠道、资金实力构建护城河，中小机构则在细分领域寻求差异化突围，行业集中度稳中有升。与此同时，保险资金作为长期资本的战略价值日益凸显，服务实体经济与国家战略的投资力度持续加大。</w:t>
      </w:r>
    </w:p>
    <w:p>
      <w:pPr>
        <w:spacing w:after="150"/>
      </w:pPr>
      <w:r>
        <w:rPr/>
        <w:t xml:space="preserve">展望未来，保险行业将呈现\"三化融合\"的演进趋势。一是科技赋能深度化，人工智能、大数据、区块链、物联网等技术将从营销端的技术工具升级为重塑核保、理赔、风控、投资全价值链的底层能力，智能核保、闪赔服务、风险减量管理成为行业标配，数据资产化能力成为核心竞争力。二是产品服务生态化，保险将从单一保单销售转向\"保险+健康管理\"\"保险+养老服务\"\"保险+风险减量\"等综合解决方案，深度嵌入医疗、养老、交通、环保等产业生态，实现从\"事后理赔\"到\"事前预防+事中管理+事后服务\"的闭环升级。三是资产负债匹配精细化，在利率中长期下行与\"资产荒\"背景下，行业将加强负债端刚性成本管控与资产端多元配置能力建设，另类投资、绿色投资、跨境配置比重提升，资产负债久期缺口管理成为战略重点。政策层面，保险法修订、个人养老金制度扩容、巨灾保险制度建设、偿二代二期工程全面实施将系统性重塑行业制度环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行业研究单位等公布和提供的大量资料。报告对我国保险行业的供需状况、发展现状、子行业发展变化等进行了分析，重点分析了国内外保险行业的发展现状、如何面对行业的发展挑战、行业的发展建议、行业竞争力，以及行业的投资分析和趋势预测等等。报告还综合了保险行业的整体发展动态，对行业在产品方面提供了参考建议和具体解决办法。报告对于保险产品生产企业、经销商、行业管理部门以及拟进入该行业的投资者具有重要的参考价值，对于研究我国保险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研究背景与意义</w:t>
      </w:r>
    </w:p>
    <w:p>
      <w:pPr>
        <w:spacing w:before="75" w:after="0"/>
      </w:pPr>
      <w:r>
        <w:rPr/>
        <w:t xml:space="preserve">一、金融强国战略下的保险行业定位</w:t>
      </w:r>
    </w:p>
    <w:p>
      <w:pPr>
        <w:spacing w:before="75" w:after="0"/>
      </w:pPr>
      <w:r>
        <w:rPr/>
        <w:t xml:space="preserve">二、居民财富管理需求升级趋势</w:t>
      </w:r>
    </w:p>
    <w:p>
      <w:pPr>
        <w:spacing w:before="75" w:after="0"/>
      </w:pPr>
      <w:r>
        <w:rPr/>
        <w:t xml:space="preserve">三、老龄化社会中的保障功能强化</w:t>
      </w:r>
    </w:p>
    <w:p>
      <w:pPr>
        <w:spacing w:before="75" w:after="0"/>
      </w:pPr>
      <w:r>
        <w:rPr/>
        <w:t xml:space="preserve">第二节 研究范围与界定</w:t>
      </w:r>
    </w:p>
    <w:p>
      <w:pPr>
        <w:spacing w:before="75" w:after="0"/>
      </w:pPr>
      <w:r>
        <w:rPr/>
        <w:t xml:space="preserve">一、保险行业业务板块范畴界定</w:t>
      </w:r>
    </w:p>
    <w:p>
      <w:pPr>
        <w:spacing w:before="75" w:after="0"/>
      </w:pPr>
      <w:r>
        <w:rPr/>
        <w:t xml:space="preserve">二、研究的时间与空间维度及数据来源</w:t>
      </w:r>
    </w:p>
    <w:p>
      <w:pPr>
        <w:spacing w:before="75" w:after="0"/>
      </w:pPr>
      <w:r>
        <w:rPr/>
        <w:t xml:space="preserve">三、核心指标定义与测算逻辑</w:t>
      </w:r>
    </w:p>
    <w:p>
      <w:pPr>
        <w:spacing w:before="75" w:after="0"/>
      </w:pPr>
      <w:r>
        <w:rPr>
          <w:b w:val="1"/>
          <w:bCs w:val="1"/>
        </w:rPr>
        <w:t xml:space="preserve">第二章 全球保险业发展态势</w:t>
      </w:r>
    </w:p>
    <w:p>
      <w:pPr>
        <w:spacing w:before="75" w:after="0"/>
      </w:pPr>
      <w:r>
        <w:rPr/>
        <w:t xml:space="preserve">第一节 市场规模与增长格局</w:t>
      </w:r>
    </w:p>
    <w:p>
      <w:pPr>
        <w:spacing w:before="75" w:after="0"/>
      </w:pPr>
      <w:r>
        <w:rPr/>
        <w:t xml:space="preserve">一、2023-2025年全球保费收入变化</w:t>
      </w:r>
    </w:p>
    <w:p>
      <w:pPr>
        <w:spacing w:before="75" w:after="0"/>
      </w:pPr>
      <w:r>
        <w:rPr/>
        <w:t xml:space="preserve">二、发达市场与新兴市场分化</w:t>
      </w:r>
    </w:p>
    <w:p>
      <w:pPr>
        <w:spacing w:before="75" w:after="0"/>
      </w:pPr>
      <w:r>
        <w:rPr/>
        <w:t xml:space="preserve">三、主要经济体保险深度对比</w:t>
      </w:r>
    </w:p>
    <w:p>
      <w:pPr>
        <w:spacing w:before="75" w:after="0"/>
      </w:pPr>
      <w:r>
        <w:rPr/>
        <w:t xml:space="preserve">第二节 产业结构演进</w:t>
      </w:r>
    </w:p>
    <w:p>
      <w:pPr>
        <w:spacing w:before="75" w:after="0"/>
      </w:pPr>
      <w:r>
        <w:rPr/>
        <w:t xml:space="preserve">一、寿险与非寿险占比变化</w:t>
      </w:r>
    </w:p>
    <w:p>
      <w:pPr>
        <w:spacing w:before="75" w:after="0"/>
      </w:pPr>
      <w:r>
        <w:rPr/>
        <w:t xml:space="preserve">二、健康险需求增长趋势</w:t>
      </w:r>
    </w:p>
    <w:p>
      <w:pPr>
        <w:spacing w:before="75" w:after="0"/>
      </w:pPr>
      <w:r>
        <w:rPr/>
        <w:t xml:space="preserve">三、再保险市场容量</w:t>
      </w:r>
    </w:p>
    <w:p>
      <w:pPr>
        <w:spacing w:before="75" w:after="0"/>
      </w:pPr>
      <w:r>
        <w:rPr/>
        <w:t xml:space="preserve">第三节 技术变革影响</w:t>
      </w:r>
    </w:p>
    <w:p>
      <w:pPr>
        <w:spacing w:before="75" w:after="0"/>
      </w:pPr>
      <w:r>
        <w:rPr/>
        <w:t xml:space="preserve">一、数字化渠道覆盖率</w:t>
      </w:r>
    </w:p>
    <w:p>
      <w:pPr>
        <w:spacing w:before="75" w:after="0"/>
      </w:pPr>
      <w:r>
        <w:rPr/>
        <w:t xml:space="preserve">二、智能核保理赔应用</w:t>
      </w:r>
    </w:p>
    <w:p>
      <w:pPr>
        <w:spacing w:before="75" w:after="0"/>
      </w:pPr>
      <w:r>
        <w:rPr/>
        <w:t xml:space="preserve">三、保险科技融资热度</w:t>
      </w:r>
    </w:p>
    <w:p>
      <w:pPr>
        <w:spacing w:before="75" w:after="0"/>
      </w:pPr>
      <w:r>
        <w:rPr>
          <w:b w:val="1"/>
          <w:bCs w:val="1"/>
        </w:rPr>
        <w:t xml:space="preserve">第三章 中国保险行业发展环境</w:t>
      </w:r>
    </w:p>
    <w:p>
      <w:pPr>
        <w:spacing w:before="75" w:after="0"/>
      </w:pPr>
      <w:r>
        <w:rPr/>
        <w:t xml:space="preserve">第一节 宏观经济关联性</w:t>
      </w:r>
    </w:p>
    <w:p>
      <w:pPr>
        <w:spacing w:before="75" w:after="0"/>
      </w:pPr>
      <w:r>
        <w:rPr/>
        <w:t xml:space="preserve">一、gdp增速与保费收入弹性</w:t>
      </w:r>
    </w:p>
    <w:p>
      <w:pPr>
        <w:spacing w:before="75" w:after="0"/>
      </w:pPr>
      <w:r>
        <w:rPr/>
        <w:t xml:space="preserve">二、利率周期对负债端影响</w:t>
      </w:r>
    </w:p>
    <w:p>
      <w:pPr>
        <w:spacing w:before="75" w:after="0"/>
      </w:pPr>
      <w:r>
        <w:rPr/>
        <w:t xml:space="preserve">三、汇率波动与资产配置</w:t>
      </w:r>
    </w:p>
    <w:p>
      <w:pPr>
        <w:spacing w:before="75" w:after="0"/>
      </w:pPr>
      <w:r>
        <w:rPr/>
        <w:t xml:space="preserve">第二节 监管框架演进</w:t>
      </w:r>
    </w:p>
    <w:p>
      <w:pPr>
        <w:spacing w:before="75" w:after="0"/>
      </w:pPr>
      <w:r>
        <w:rPr/>
        <w:t xml:space="preserve">一、偿付能力监管优化</w:t>
      </w:r>
    </w:p>
    <w:p>
      <w:pPr>
        <w:spacing w:before="75" w:after="0"/>
      </w:pPr>
      <w:r>
        <w:rPr/>
        <w:t xml:space="preserve">二、产品费率市场化进程</w:t>
      </w:r>
    </w:p>
    <w:p>
      <w:pPr>
        <w:spacing w:before="75" w:after="0"/>
      </w:pPr>
      <w:r>
        <w:rPr/>
        <w:t xml:space="preserve">三、资金运用渠道拓宽</w:t>
      </w:r>
    </w:p>
    <w:p>
      <w:pPr>
        <w:spacing w:before="75" w:after="0"/>
      </w:pPr>
      <w:r>
        <w:rPr/>
        <w:t xml:space="preserve">第三节 社会需求变迁</w:t>
      </w:r>
    </w:p>
    <w:p>
      <w:pPr>
        <w:spacing w:before="75" w:after="0"/>
      </w:pPr>
      <w:r>
        <w:rPr/>
        <w:t xml:space="preserve">一、人口结构变化影响</w:t>
      </w:r>
    </w:p>
    <w:p>
      <w:pPr>
        <w:spacing w:before="75" w:after="0"/>
      </w:pPr>
      <w:r>
        <w:rPr/>
        <w:t xml:space="preserve">二、健康意识提升驱动</w:t>
      </w:r>
    </w:p>
    <w:p>
      <w:pPr>
        <w:spacing w:before="75" w:after="0"/>
      </w:pPr>
      <w:r>
        <w:rPr/>
        <w:t xml:space="preserve">三、财富传承需求增长</w:t>
      </w:r>
    </w:p>
    <w:p>
      <w:pPr>
        <w:spacing w:before="75" w:after="0"/>
      </w:pPr>
      <w:r>
        <w:rPr/>
        <w:t xml:space="preserve">第四节 技术赋能现状</w:t>
      </w:r>
    </w:p>
    <w:p>
      <w:pPr>
        <w:spacing w:before="75" w:after="0"/>
      </w:pPr>
      <w:r>
        <w:rPr/>
        <w:t xml:space="preserve">一、保险科技投入强度</w:t>
      </w:r>
    </w:p>
    <w:p>
      <w:pPr>
        <w:spacing w:before="75" w:after="0"/>
      </w:pPr>
      <w:r>
        <w:rPr/>
        <w:t xml:space="preserve">二、线上化率提升速度</w:t>
      </w:r>
    </w:p>
    <w:p>
      <w:pPr>
        <w:spacing w:before="75" w:after="0"/>
      </w:pPr>
      <w:r>
        <w:rPr/>
        <w:t xml:space="preserve">三、大数据风控应用</w:t>
      </w:r>
    </w:p>
    <w:p>
      <w:pPr>
        <w:spacing w:before="75" w:after="0"/>
      </w:pPr>
      <w:r>
        <w:rPr>
          <w:b w:val="1"/>
          <w:bCs w:val="1"/>
        </w:rPr>
        <w:t xml:space="preserve">第四章 中国保险市场运行现状</w:t>
      </w:r>
    </w:p>
    <w:p>
      <w:pPr>
        <w:spacing w:before="75" w:after="0"/>
      </w:pPr>
      <w:r>
        <w:rPr/>
        <w:t xml:space="preserve">第一节 市场规模与增速</w:t>
      </w:r>
    </w:p>
    <w:p>
      <w:pPr>
        <w:spacing w:before="75" w:after="0"/>
      </w:pPr>
      <w:r>
        <w:rPr/>
        <w:t xml:space="preserve">一、2023-2025年保费收入统计</w:t>
      </w:r>
    </w:p>
    <w:p>
      <w:pPr>
        <w:spacing w:before="75" w:after="0"/>
      </w:pPr>
      <w:r>
        <w:rPr/>
        <w:t xml:space="preserve">二、保险密度与深度变化</w:t>
      </w:r>
    </w:p>
    <w:p>
      <w:pPr>
        <w:spacing w:before="75" w:after="0"/>
      </w:pPr>
      <w:r>
        <w:rPr/>
        <w:t xml:space="preserve">三、市场增长驱动因素</w:t>
      </w:r>
    </w:p>
    <w:p>
      <w:pPr>
        <w:spacing w:before="75" w:after="0"/>
      </w:pPr>
      <w:r>
        <w:rPr/>
        <w:t xml:space="preserve">第二节 业务结构分析</w:t>
      </w:r>
    </w:p>
    <w:p>
      <w:pPr>
        <w:spacing w:before="75" w:after="0"/>
      </w:pPr>
      <w:r>
        <w:rPr/>
        <w:t xml:space="preserve">一、人身险与财产险占比</w:t>
      </w:r>
    </w:p>
    <w:p>
      <w:pPr>
        <w:spacing w:before="75" w:after="0"/>
      </w:pPr>
      <w:r>
        <w:rPr/>
        <w:t xml:space="preserve">二、保障型与投资型分化</w:t>
      </w:r>
    </w:p>
    <w:p>
      <w:pPr>
        <w:spacing w:before="75" w:after="0"/>
      </w:pPr>
      <w:r>
        <w:rPr/>
        <w:t xml:space="preserve">三、渠道结构变迁</w:t>
      </w:r>
    </w:p>
    <w:p>
      <w:pPr>
        <w:spacing w:before="75" w:after="0"/>
      </w:pPr>
      <w:r>
        <w:rPr/>
        <w:t xml:space="preserve">第三节 竞争格局演变</w:t>
      </w:r>
    </w:p>
    <w:p>
      <w:pPr>
        <w:spacing w:before="75" w:after="0"/>
      </w:pPr>
      <w:r>
        <w:rPr/>
        <w:t xml:space="preserve">一、市场集中度cr5变化</w:t>
      </w:r>
    </w:p>
    <w:p>
      <w:pPr>
        <w:spacing w:before="75" w:after="0"/>
      </w:pPr>
      <w:r>
        <w:rPr/>
        <w:t xml:space="preserve">二、头部机构规模差距</w:t>
      </w:r>
    </w:p>
    <w:p>
      <w:pPr>
        <w:spacing w:before="75" w:after="0"/>
      </w:pPr>
      <w:r>
        <w:rPr/>
        <w:t xml:space="preserve">三、中小机构差异化竞争</w:t>
      </w:r>
    </w:p>
    <w:p>
      <w:pPr>
        <w:spacing w:before="75" w:after="0"/>
      </w:pPr>
      <w:r>
        <w:rPr>
          <w:b w:val="1"/>
          <w:bCs w:val="1"/>
        </w:rPr>
        <w:t xml:space="preserve">第五章 寿险业务发展现状</w:t>
      </w:r>
    </w:p>
    <w:p>
      <w:pPr>
        <w:spacing w:before="75" w:after="0"/>
      </w:pPr>
      <w:r>
        <w:rPr/>
        <w:t xml:space="preserve">第一节 保费规模与增长质量</w:t>
      </w:r>
    </w:p>
    <w:p>
      <w:pPr>
        <w:spacing w:before="75" w:after="0"/>
      </w:pPr>
      <w:r>
        <w:rPr/>
        <w:t xml:space="preserve">一、2023-2025年寿险保费收入统计</w:t>
      </w:r>
    </w:p>
    <w:p>
      <w:pPr>
        <w:spacing w:before="75" w:after="0"/>
      </w:pPr>
      <w:r>
        <w:rPr/>
        <w:t xml:space="preserve">二、新业务价值变化趋势</w:t>
      </w:r>
    </w:p>
    <w:p>
      <w:pPr>
        <w:spacing w:before="75" w:after="0"/>
      </w:pPr>
      <w:r>
        <w:rPr/>
        <w:t xml:space="preserve">三、保费结构优化程度</w:t>
      </w:r>
    </w:p>
    <w:p>
      <w:pPr>
        <w:spacing w:before="75" w:after="0"/>
      </w:pPr>
      <w:r>
        <w:rPr/>
        <w:t xml:space="preserve">第二节 渠道改革成效</w:t>
      </w:r>
    </w:p>
    <w:p>
      <w:pPr>
        <w:spacing w:before="75" w:after="0"/>
      </w:pPr>
      <w:r>
        <w:rPr/>
        <w:t xml:space="preserve">一、代理人数量与质量指标</w:t>
      </w:r>
    </w:p>
    <w:p>
      <w:pPr>
        <w:spacing w:before="75" w:after="0"/>
      </w:pPr>
      <w:r>
        <w:rPr/>
        <w:t xml:space="preserve">二、人均产能提升幅度</w:t>
      </w:r>
    </w:p>
    <w:p>
      <w:pPr>
        <w:spacing w:before="75" w:after="0"/>
      </w:pPr>
      <w:r>
        <w:rPr/>
        <w:t xml:space="preserve">三、银保等多元渠道贡献</w:t>
      </w:r>
    </w:p>
    <w:p>
      <w:pPr>
        <w:spacing w:before="75" w:after="0"/>
      </w:pPr>
      <w:r>
        <w:rPr/>
        <w:t xml:space="preserve">第三节 业务品质评估</w:t>
      </w:r>
    </w:p>
    <w:p>
      <w:pPr>
        <w:spacing w:before="75" w:after="0"/>
      </w:pPr>
      <w:r>
        <w:rPr/>
        <w:t xml:space="preserve">一、保单继续率改善幅度</w:t>
      </w:r>
    </w:p>
    <w:p>
      <w:pPr>
        <w:spacing w:before="75" w:after="0"/>
      </w:pPr>
      <w:r>
        <w:rPr/>
        <w:t xml:space="preserve">二、退保率控制水平</w:t>
      </w:r>
    </w:p>
    <w:p>
      <w:pPr>
        <w:spacing w:before="75" w:after="0"/>
      </w:pPr>
      <w:r>
        <w:rPr/>
        <w:t xml:space="preserve">三、综合投资收益率</w:t>
      </w:r>
    </w:p>
    <w:p>
      <w:pPr>
        <w:spacing w:before="75" w:after="0"/>
      </w:pPr>
      <w:r>
        <w:rPr>
          <w:b w:val="1"/>
          <w:bCs w:val="1"/>
        </w:rPr>
        <w:t xml:space="preserve">第六章 产险业务发展现状</w:t>
      </w:r>
    </w:p>
    <w:p>
      <w:pPr>
        <w:spacing w:before="75" w:after="0"/>
      </w:pPr>
      <w:r>
        <w:rPr/>
        <w:t xml:space="preserve">第一节 保费收入与市场份额</w:t>
      </w:r>
    </w:p>
    <w:p>
      <w:pPr>
        <w:spacing w:before="75" w:after="0"/>
      </w:pPr>
      <w:r>
        <w:rPr/>
        <w:t xml:space="preserve">一、2023-2025年产险保费收入</w:t>
      </w:r>
    </w:p>
    <w:p>
      <w:pPr>
        <w:spacing w:before="75" w:after="0"/>
      </w:pPr>
      <w:r>
        <w:rPr/>
        <w:t xml:space="preserve">二、车险与非车险结构</w:t>
      </w:r>
    </w:p>
    <w:p>
      <w:pPr>
        <w:spacing w:before="75" w:after="0"/>
      </w:pPr>
      <w:r>
        <w:rPr/>
        <w:t xml:space="preserve">三、市场份额变化趋势</w:t>
      </w:r>
    </w:p>
    <w:p>
      <w:pPr>
        <w:spacing w:before="75" w:after="0"/>
      </w:pPr>
      <w:r>
        <w:rPr/>
        <w:t xml:space="preserve">第二节 承保盈利能力</w:t>
      </w:r>
    </w:p>
    <w:p>
      <w:pPr>
        <w:spacing w:before="75" w:after="0"/>
      </w:pPr>
      <w:r>
        <w:rPr/>
        <w:t xml:space="preserve">一、综合成本率优化幅度</w:t>
      </w:r>
    </w:p>
    <w:p>
      <w:pPr>
        <w:spacing w:before="75" w:after="0"/>
      </w:pPr>
      <w:r>
        <w:rPr/>
        <w:t xml:space="preserve">二、车险综合成本率水平</w:t>
      </w:r>
    </w:p>
    <w:p>
      <w:pPr>
        <w:spacing w:before="75" w:after="0"/>
      </w:pPr>
      <w:r>
        <w:rPr/>
        <w:t xml:space="preserve">三、风险减量服务成效</w:t>
      </w:r>
    </w:p>
    <w:p>
      <w:pPr>
        <w:spacing w:before="75" w:after="0"/>
      </w:pPr>
      <w:r>
        <w:rPr/>
        <w:t xml:space="preserve">第三节 业务创新方向</w:t>
      </w:r>
    </w:p>
    <w:p>
      <w:pPr>
        <w:spacing w:before="75" w:after="0"/>
      </w:pPr>
      <w:r>
        <w:rPr/>
        <w:t xml:space="preserve">一、新能源车险增长</w:t>
      </w:r>
    </w:p>
    <w:p>
      <w:pPr>
        <w:spacing w:before="75" w:after="0"/>
      </w:pPr>
      <w:r>
        <w:rPr/>
        <w:t xml:space="preserve">二、责任险拓展空间</w:t>
      </w:r>
    </w:p>
    <w:p>
      <w:pPr>
        <w:spacing w:before="75" w:after="0"/>
      </w:pPr>
      <w:r>
        <w:rPr/>
        <w:t xml:space="preserve">三、科技赋能理赔</w:t>
      </w:r>
    </w:p>
    <w:p>
      <w:pPr>
        <w:spacing w:before="75" w:after="0"/>
      </w:pPr>
      <w:r>
        <w:rPr>
          <w:b w:val="1"/>
          <w:bCs w:val="1"/>
        </w:rPr>
        <w:t xml:space="preserve">第七章 健康险与养老险发展</w:t>
      </w:r>
    </w:p>
    <w:p>
      <w:pPr>
        <w:spacing w:before="75" w:after="0"/>
      </w:pPr>
      <w:r>
        <w:rPr/>
        <w:t xml:space="preserve">第一节 健康险业务发展</w:t>
      </w:r>
    </w:p>
    <w:p>
      <w:pPr>
        <w:spacing w:before="75" w:after="0"/>
      </w:pPr>
      <w:r>
        <w:rPr/>
        <w:t xml:space="preserve">一、保费规模与增速</w:t>
      </w:r>
    </w:p>
    <w:p>
      <w:pPr>
        <w:spacing w:before="75" w:after="0"/>
      </w:pPr>
      <w:r>
        <w:rPr/>
        <w:t xml:space="preserve">二、产品形态创新</w:t>
      </w:r>
    </w:p>
    <w:p>
      <w:pPr>
        <w:spacing w:before="75" w:after="0"/>
      </w:pPr>
      <w:r>
        <w:rPr/>
        <w:t xml:space="preserve">三、医养服务协同</w:t>
      </w:r>
    </w:p>
    <w:p>
      <w:pPr>
        <w:spacing w:before="75" w:after="0"/>
      </w:pPr>
      <w:r>
        <w:rPr/>
        <w:t xml:space="preserve">第二节 养老险战略推进</w:t>
      </w:r>
    </w:p>
    <w:p>
      <w:pPr>
        <w:spacing w:before="75" w:after="0"/>
      </w:pPr>
      <w:r>
        <w:rPr/>
        <w:t xml:space="preserve">一、三支柱建设参与</w:t>
      </w:r>
    </w:p>
    <w:p>
      <w:pPr>
        <w:spacing w:before="75" w:after="0"/>
      </w:pPr>
      <w:r>
        <w:rPr/>
        <w:t xml:space="preserve">二、产品体系完善</w:t>
      </w:r>
    </w:p>
    <w:p>
      <w:pPr>
        <w:spacing w:before="75" w:after="0"/>
      </w:pPr>
      <w:r>
        <w:rPr/>
        <w:t xml:space="preserve">三、服务网络建设</w:t>
      </w:r>
    </w:p>
    <w:p>
      <w:pPr>
        <w:spacing w:before="75" w:after="0"/>
      </w:pPr>
      <w:r>
        <w:rPr/>
        <w:t xml:space="preserve">第三节 医疗健康生态</w:t>
      </w:r>
    </w:p>
    <w:p>
      <w:pPr>
        <w:spacing w:before="75" w:after="0"/>
      </w:pPr>
      <w:r>
        <w:rPr/>
        <w:t xml:space="preserve">一、合作医疗机构数量</w:t>
      </w:r>
    </w:p>
    <w:p>
      <w:pPr>
        <w:spacing w:before="75" w:after="0"/>
      </w:pPr>
      <w:r>
        <w:rPr/>
        <w:t xml:space="preserve">二、健康管理服务覆盖</w:t>
      </w:r>
    </w:p>
    <w:p>
      <w:pPr>
        <w:spacing w:before="75" w:after="0"/>
      </w:pPr>
      <w:r>
        <w:rPr/>
        <w:t xml:space="preserve">三、医疗数据应用</w:t>
      </w:r>
    </w:p>
    <w:p>
      <w:pPr>
        <w:spacing w:before="75" w:after="0"/>
      </w:pPr>
      <w:r>
        <w:rPr>
          <w:b w:val="1"/>
          <w:bCs w:val="1"/>
        </w:rPr>
        <w:t xml:space="preserve">第八章 头部险企竞争格局分析</w:t>
      </w:r>
    </w:p>
    <w:p>
      <w:pPr>
        <w:spacing w:before="75" w:after="0"/>
      </w:pPr>
      <w:r>
        <w:rPr/>
        <w:t xml:space="preserve">第一节 市场地位对比</w:t>
      </w:r>
    </w:p>
    <w:p>
      <w:pPr>
        <w:spacing w:before="75" w:after="0"/>
      </w:pPr>
      <w:r>
        <w:rPr/>
        <w:t xml:space="preserve">一、保费收入排名(平安、国寿、太保、人保、新华等)</w:t>
      </w:r>
    </w:p>
    <w:p>
      <w:pPr>
        <w:spacing w:before="75" w:after="0"/>
      </w:pPr>
      <w:r>
        <w:rPr/>
        <w:t xml:space="preserve">二、市值规模对比(平安、国寿、太保、人保、新华等)</w:t>
      </w:r>
    </w:p>
    <w:p>
      <w:pPr>
        <w:spacing w:before="75" w:after="0"/>
      </w:pPr>
      <w:r>
        <w:rPr/>
        <w:t xml:space="preserve">三、品牌价值变化(平安、国寿、太保、人保、新华等)</w:t>
      </w:r>
    </w:p>
    <w:p>
      <w:pPr>
        <w:spacing w:before="75" w:after="0"/>
      </w:pPr>
      <w:r>
        <w:rPr/>
        <w:t xml:space="preserve">第二节 业务结构差异</w:t>
      </w:r>
    </w:p>
    <w:p>
      <w:pPr>
        <w:spacing w:before="75" w:after="0"/>
      </w:pPr>
      <w:r>
        <w:rPr/>
        <w:t xml:space="preserve">一、寿险业务对比(平安、国寿、太保、人保、新华等)</w:t>
      </w:r>
    </w:p>
    <w:p>
      <w:pPr>
        <w:spacing w:before="75" w:after="0"/>
      </w:pPr>
      <w:r>
        <w:rPr/>
        <w:t xml:space="preserve">二、产险业务对比(平安、国寿、太保、人保、新华等)</w:t>
      </w:r>
    </w:p>
    <w:p>
      <w:pPr>
        <w:spacing w:before="75" w:after="0"/>
      </w:pPr>
      <w:r>
        <w:rPr/>
        <w:t xml:space="preserve">三、健康险布局(平安、国寿、太保、人保、新华等)</w:t>
      </w:r>
    </w:p>
    <w:p>
      <w:pPr>
        <w:spacing w:before="75" w:after="0"/>
      </w:pPr>
      <w:r>
        <w:rPr/>
        <w:t xml:space="preserve">第三节 竞争优势分析</w:t>
      </w:r>
    </w:p>
    <w:p>
      <w:pPr>
        <w:spacing w:before="75" w:after="0"/>
      </w:pPr>
      <w:r>
        <w:rPr/>
        <w:t xml:space="preserve">一、综合金融能力(平安、国寿、太保、人保、新华等)</w:t>
      </w:r>
    </w:p>
    <w:p>
      <w:pPr>
        <w:spacing w:before="75" w:after="0"/>
      </w:pPr>
      <w:r>
        <w:rPr/>
        <w:t xml:space="preserve">二、科技赋能深度(平安、国寿、太保、人保、新华等)</w:t>
      </w:r>
    </w:p>
    <w:p>
      <w:pPr>
        <w:spacing w:before="75" w:after="0"/>
      </w:pPr>
      <w:r>
        <w:rPr/>
        <w:t xml:space="preserve">三、客户基础规模(平安、国寿、太保、人保、新华等)</w:t>
      </w:r>
    </w:p>
    <w:p>
      <w:pPr>
        <w:spacing w:before="75" w:after="0"/>
      </w:pPr>
      <w:r>
        <w:rPr>
          <w:b w:val="1"/>
          <w:bCs w:val="1"/>
        </w:rPr>
        <w:t xml:space="preserve">第九章 渠道转型与代理人改革</w:t>
      </w:r>
    </w:p>
    <w:p>
      <w:pPr>
        <w:spacing w:before="75" w:after="0"/>
      </w:pPr>
      <w:r>
        <w:rPr/>
        <w:t xml:space="preserve">第一节 代理人渠道重塑</w:t>
      </w:r>
    </w:p>
    <w:p>
      <w:pPr>
        <w:spacing w:before="75" w:after="0"/>
      </w:pPr>
      <w:r>
        <w:rPr/>
        <w:t xml:space="preserve">一、队伍规模优化路径</w:t>
      </w:r>
    </w:p>
    <w:p>
      <w:pPr>
        <w:spacing w:before="75" w:after="0"/>
      </w:pPr>
      <w:r>
        <w:rPr/>
        <w:t xml:space="preserve">二、产能提升核心指标</w:t>
      </w:r>
    </w:p>
    <w:p>
      <w:pPr>
        <w:spacing w:before="75" w:after="0"/>
      </w:pPr>
      <w:r>
        <w:rPr/>
        <w:t xml:space="preserve">三、数字化工具赋能</w:t>
      </w:r>
    </w:p>
    <w:p>
      <w:pPr>
        <w:spacing w:before="75" w:after="0"/>
      </w:pPr>
      <w:r>
        <w:rPr/>
        <w:t xml:space="preserve">第二节 银保渠道拓展</w:t>
      </w:r>
    </w:p>
    <w:p>
      <w:pPr>
        <w:spacing w:before="75" w:after="0"/>
      </w:pPr>
      <w:r>
        <w:rPr/>
        <w:t xml:space="preserve">一、合作银行网络</w:t>
      </w:r>
    </w:p>
    <w:p>
      <w:pPr>
        <w:spacing w:before="75" w:after="0"/>
      </w:pPr>
      <w:r>
        <w:rPr/>
        <w:t xml:space="preserve">二、价值贡献度变化</w:t>
      </w:r>
    </w:p>
    <w:p>
      <w:pPr>
        <w:spacing w:before="75" w:after="0"/>
      </w:pPr>
      <w:r>
        <w:rPr/>
        <w:t xml:space="preserve">三、产品策略调整</w:t>
      </w:r>
    </w:p>
    <w:p>
      <w:pPr>
        <w:spacing w:before="75" w:after="0"/>
      </w:pPr>
      <w:r>
        <w:rPr/>
        <w:t xml:space="preserve">第三节 线上渠道建设</w:t>
      </w:r>
    </w:p>
    <w:p>
      <w:pPr>
        <w:spacing w:before="75" w:after="0"/>
      </w:pPr>
      <w:r>
        <w:rPr/>
        <w:t xml:space="preserve">一、自营平台用户数</w:t>
      </w:r>
    </w:p>
    <w:p>
      <w:pPr>
        <w:spacing w:before="75" w:after="0"/>
      </w:pPr>
      <w:r>
        <w:rPr/>
        <w:t xml:space="preserve">二、线上转化率</w:t>
      </w:r>
    </w:p>
    <w:p>
      <w:pPr>
        <w:spacing w:before="75" w:after="0"/>
      </w:pPr>
      <w:r>
        <w:rPr/>
        <w:t xml:space="preserve">三、服务响应效率</w:t>
      </w:r>
    </w:p>
    <w:p>
      <w:pPr>
        <w:spacing w:before="75" w:after="0"/>
      </w:pPr>
      <w:r>
        <w:rPr>
          <w:b w:val="1"/>
          <w:bCs w:val="1"/>
        </w:rPr>
        <w:t xml:space="preserve">第十章 科技赋能与数字化转型</w:t>
      </w:r>
    </w:p>
    <w:p>
      <w:pPr>
        <w:spacing w:before="75" w:after="0"/>
      </w:pPr>
      <w:r>
        <w:rPr/>
        <w:t xml:space="preserve">第一节 科技投入产出</w:t>
      </w:r>
    </w:p>
    <w:p>
      <w:pPr>
        <w:spacing w:before="75" w:after="0"/>
      </w:pPr>
      <w:r>
        <w:rPr/>
        <w:t xml:space="preserve">一、研发费用占比</w:t>
      </w:r>
    </w:p>
    <w:p>
      <w:pPr>
        <w:spacing w:before="75" w:after="0"/>
      </w:pPr>
      <w:r>
        <w:rPr/>
        <w:t xml:space="preserve">二、专利申请数量</w:t>
      </w:r>
    </w:p>
    <w:p>
      <w:pPr>
        <w:spacing w:before="75" w:after="0"/>
      </w:pPr>
      <w:r>
        <w:rPr/>
        <w:t xml:space="preserve">三、数字化应用成效</w:t>
      </w:r>
    </w:p>
    <w:p>
      <w:pPr>
        <w:spacing w:before="75" w:after="0"/>
      </w:pPr>
      <w:r>
        <w:rPr/>
        <w:t xml:space="preserve">第二节 智能服务体系</w:t>
      </w:r>
    </w:p>
    <w:p>
      <w:pPr>
        <w:spacing w:before="75" w:after="0"/>
      </w:pPr>
      <w:r>
        <w:rPr/>
        <w:t xml:space="preserve">一、ai客服覆盖率</w:t>
      </w:r>
    </w:p>
    <w:p>
      <w:pPr>
        <w:spacing w:before="75" w:after="0"/>
      </w:pPr>
      <w:r>
        <w:rPr/>
        <w:t xml:space="preserve">二、智能理赔效率</w:t>
      </w:r>
    </w:p>
    <w:p>
      <w:pPr>
        <w:spacing w:before="75" w:after="0"/>
      </w:pPr>
      <w:r>
        <w:rPr/>
        <w:t xml:space="preserve">三、风险预警能力</w:t>
      </w:r>
    </w:p>
    <w:p>
      <w:pPr>
        <w:spacing w:before="75" w:after="0"/>
      </w:pPr>
      <w:r>
        <w:rPr/>
        <w:t xml:space="preserve">第三节 数据要素价值</w:t>
      </w:r>
    </w:p>
    <w:p>
      <w:pPr>
        <w:spacing w:before="75" w:after="0"/>
      </w:pPr>
      <w:r>
        <w:rPr/>
        <w:t xml:space="preserve">一、客户数据资产</w:t>
      </w:r>
    </w:p>
    <w:p>
      <w:pPr>
        <w:spacing w:before="75" w:after="0"/>
      </w:pPr>
      <w:r>
        <w:rPr/>
        <w:t xml:space="preserve">二、精准营销效果</w:t>
      </w:r>
    </w:p>
    <w:p>
      <w:pPr>
        <w:spacing w:before="75" w:after="0"/>
      </w:pPr>
      <w:r>
        <w:rPr/>
        <w:t xml:space="preserve">三、风控模型迭代</w:t>
      </w:r>
    </w:p>
    <w:p>
      <w:pPr>
        <w:spacing w:before="75" w:after="0"/>
      </w:pPr>
      <w:r>
        <w:rPr>
          <w:b w:val="1"/>
          <w:bCs w:val="1"/>
        </w:rPr>
        <w:t xml:space="preserve">第十一章 资产管理与投资战略</w:t>
      </w:r>
    </w:p>
    <w:p>
      <w:pPr>
        <w:spacing w:before="75" w:after="0"/>
      </w:pPr>
      <w:r>
        <w:rPr/>
        <w:t xml:space="preserve">第一节 投资组合规模</w:t>
      </w:r>
    </w:p>
    <w:p>
      <w:pPr>
        <w:spacing w:before="75" w:after="0"/>
      </w:pPr>
      <w:r>
        <w:rPr/>
        <w:t xml:space="preserve">一、保险资金运用余额</w:t>
      </w:r>
    </w:p>
    <w:p>
      <w:pPr>
        <w:spacing w:before="75" w:after="0"/>
      </w:pPr>
      <w:r>
        <w:rPr/>
        <w:t xml:space="preserve">二、资产配置结构</w:t>
      </w:r>
    </w:p>
    <w:p>
      <w:pPr>
        <w:spacing w:before="75" w:after="0"/>
      </w:pPr>
      <w:r>
        <w:rPr/>
        <w:t xml:space="preserve">三、投资收益表现</w:t>
      </w:r>
    </w:p>
    <w:p>
      <w:pPr>
        <w:spacing w:before="75" w:after="0"/>
      </w:pPr>
      <w:r>
        <w:rPr/>
        <w:t xml:space="preserve">第二节 大类资产配置</w:t>
      </w:r>
    </w:p>
    <w:p>
      <w:pPr>
        <w:spacing w:before="75" w:after="0"/>
      </w:pPr>
      <w:r>
        <w:rPr/>
        <w:t xml:space="preserve">一、债券投资占比</w:t>
      </w:r>
    </w:p>
    <w:p>
      <w:pPr>
        <w:spacing w:before="75" w:after="0"/>
      </w:pPr>
      <w:r>
        <w:rPr/>
        <w:t xml:space="preserve">二、权益投资波动</w:t>
      </w:r>
    </w:p>
    <w:p>
      <w:pPr>
        <w:spacing w:before="75" w:after="0"/>
      </w:pPr>
      <w:r>
        <w:rPr/>
        <w:t xml:space="preserve">三、另类投资布局</w:t>
      </w:r>
    </w:p>
    <w:p>
      <w:pPr>
        <w:spacing w:before="75" w:after="0"/>
      </w:pPr>
      <w:r>
        <w:rPr/>
        <w:t xml:space="preserve">第三节 另类投资特色</w:t>
      </w:r>
    </w:p>
    <w:p>
      <w:pPr>
        <w:spacing w:before="75" w:after="0"/>
      </w:pPr>
      <w:r>
        <w:rPr/>
        <w:t xml:space="preserve">一、不动产投资比例</w:t>
      </w:r>
    </w:p>
    <w:p>
      <w:pPr>
        <w:spacing w:before="75" w:after="0"/>
      </w:pPr>
      <w:r>
        <w:rPr/>
        <w:t xml:space="preserve">二、基础设施项目</w:t>
      </w:r>
    </w:p>
    <w:p>
      <w:pPr>
        <w:spacing w:before="75" w:after="0"/>
      </w:pPr>
      <w:r>
        <w:rPr/>
        <w:t xml:space="preserve">三、绿色投资规模</w:t>
      </w:r>
    </w:p>
    <w:p>
      <w:pPr>
        <w:spacing w:before="75" w:after="0"/>
      </w:pPr>
      <w:r>
        <w:rPr>
          <w:b w:val="1"/>
          <w:bCs w:val="1"/>
        </w:rPr>
        <w:t xml:space="preserve">第十二章 风险管理与合规体系</w:t>
      </w:r>
    </w:p>
    <w:p>
      <w:pPr>
        <w:spacing w:before="75" w:after="0"/>
      </w:pPr>
      <w:r>
        <w:rPr/>
        <w:t xml:space="preserve">第一节 全面风险管理</w:t>
      </w:r>
    </w:p>
    <w:p>
      <w:pPr>
        <w:spacing w:before="75" w:after="0"/>
      </w:pPr>
      <w:r>
        <w:rPr/>
        <w:t xml:space="preserve">一、风险治理架构</w:t>
      </w:r>
    </w:p>
    <w:p>
      <w:pPr>
        <w:spacing w:before="75" w:after="0"/>
      </w:pPr>
      <w:r>
        <w:rPr/>
        <w:t xml:space="preserve">二、风险量化模型</w:t>
      </w:r>
    </w:p>
    <w:p>
      <w:pPr>
        <w:spacing w:before="75" w:after="0"/>
      </w:pPr>
      <w:r>
        <w:rPr/>
        <w:t xml:space="preserve">三、压力测试机制</w:t>
      </w:r>
    </w:p>
    <w:p>
      <w:pPr>
        <w:spacing w:before="75" w:after="0"/>
      </w:pPr>
      <w:r>
        <w:rPr/>
        <w:t xml:space="preserve">第二节 信用风险控制</w:t>
      </w:r>
    </w:p>
    <w:p>
      <w:pPr>
        <w:spacing w:before="75" w:after="0"/>
      </w:pPr>
      <w:r>
        <w:rPr/>
        <w:t xml:space="preserve">一、非标资产质量</w:t>
      </w:r>
    </w:p>
    <w:p>
      <w:pPr>
        <w:spacing w:before="75" w:after="0"/>
      </w:pPr>
      <w:r>
        <w:rPr/>
        <w:t xml:space="preserve">二、交易对手管理</w:t>
      </w:r>
    </w:p>
    <w:p>
      <w:pPr>
        <w:spacing w:before="75" w:after="0"/>
      </w:pPr>
      <w:r>
        <w:rPr/>
        <w:t xml:space="preserve">三、风险敞口监测</w:t>
      </w:r>
    </w:p>
    <w:p>
      <w:pPr>
        <w:spacing w:before="75" w:after="0"/>
      </w:pPr>
      <w:r>
        <w:rPr/>
        <w:t xml:space="preserve">第三节 操作风险防控</w:t>
      </w:r>
    </w:p>
    <w:p>
      <w:pPr>
        <w:spacing w:before="75" w:after="0"/>
      </w:pPr>
      <w:r>
        <w:rPr/>
        <w:t xml:space="preserve">一、信息系统安全</w:t>
      </w:r>
    </w:p>
    <w:p>
      <w:pPr>
        <w:spacing w:before="75" w:after="0"/>
      </w:pPr>
      <w:r>
        <w:rPr/>
        <w:t xml:space="preserve">二、人员道德风险</w:t>
      </w:r>
    </w:p>
    <w:p>
      <w:pPr>
        <w:spacing w:before="75" w:after="0"/>
      </w:pPr>
      <w:r>
        <w:rPr/>
        <w:t xml:space="preserve">三、应急预案完备性</w:t>
      </w:r>
    </w:p>
    <w:p>
      <w:pPr>
        <w:spacing w:before="75" w:after="0"/>
      </w:pPr>
      <w:r>
        <w:rPr>
          <w:b w:val="1"/>
          <w:bCs w:val="1"/>
        </w:rPr>
        <w:t xml:space="preserve">第十三章 esg战略与可持续发展</w:t>
      </w:r>
    </w:p>
    <w:p>
      <w:pPr>
        <w:spacing w:before="75" w:after="0"/>
      </w:pPr>
      <w:r>
        <w:rPr/>
        <w:t xml:space="preserve">第一节 esg治理框架</w:t>
      </w:r>
    </w:p>
    <w:p>
      <w:pPr>
        <w:spacing w:before="75" w:after="0"/>
      </w:pPr>
      <w:r>
        <w:rPr/>
        <w:t xml:space="preserve">一、评级提升轨迹</w:t>
      </w:r>
    </w:p>
    <w:p>
      <w:pPr>
        <w:spacing w:before="75" w:after="0"/>
      </w:pPr>
      <w:r>
        <w:rPr/>
        <w:t xml:space="preserve">二、信息披露质量</w:t>
      </w:r>
    </w:p>
    <w:p>
      <w:pPr>
        <w:spacing w:before="75" w:after="0"/>
      </w:pPr>
      <w:r>
        <w:rPr/>
        <w:t xml:space="preserve">三、治理架构优化</w:t>
      </w:r>
    </w:p>
    <w:p>
      <w:pPr>
        <w:spacing w:before="75" w:after="0"/>
      </w:pPr>
      <w:r>
        <w:rPr/>
        <w:t xml:space="preserve">第二节 绿色金融实践</w:t>
      </w:r>
    </w:p>
    <w:p>
      <w:pPr>
        <w:spacing w:before="75" w:after="0"/>
      </w:pPr>
      <w:r>
        <w:rPr/>
        <w:t xml:space="preserve">一、绿色投资规模</w:t>
      </w:r>
    </w:p>
    <w:p>
      <w:pPr>
        <w:spacing w:before="75" w:after="0"/>
      </w:pPr>
      <w:r>
        <w:rPr/>
        <w:t xml:space="preserve">二、绿色保险产品</w:t>
      </w:r>
    </w:p>
    <w:p>
      <w:pPr>
        <w:spacing w:before="75" w:after="0"/>
      </w:pPr>
      <w:r>
        <w:rPr/>
        <w:t xml:space="preserve">三、碳中和目标</w:t>
      </w:r>
    </w:p>
    <w:p>
      <w:pPr>
        <w:spacing w:before="75" w:after="0"/>
      </w:pPr>
      <w:r>
        <w:rPr/>
        <w:t xml:space="preserve">第三节 社会责任履行</w:t>
      </w:r>
    </w:p>
    <w:p>
      <w:pPr>
        <w:spacing w:before="75" w:after="0"/>
      </w:pPr>
      <w:r>
        <w:rPr/>
        <w:t xml:space="preserve">一、普惠金融覆盖</w:t>
      </w:r>
    </w:p>
    <w:p>
      <w:pPr>
        <w:spacing w:before="75" w:after="0"/>
      </w:pPr>
      <w:r>
        <w:rPr/>
        <w:t xml:space="preserve">二、乡村振兴投入</w:t>
      </w:r>
    </w:p>
    <w:p>
      <w:pPr>
        <w:spacing w:before="75" w:after="0"/>
      </w:pPr>
      <w:r>
        <w:rPr/>
        <w:t xml:space="preserve">三、公益捐赠力度</w:t>
      </w:r>
    </w:p>
    <w:p>
      <w:pPr>
        <w:spacing w:before="75" w:after="0"/>
      </w:pPr>
      <w:r>
        <w:rPr>
          <w:b w:val="1"/>
          <w:bCs w:val="1"/>
        </w:rPr>
        <w:t xml:space="preserve">第十四章 国际化进程与海外布局</w:t>
      </w:r>
    </w:p>
    <w:p>
      <w:pPr>
        <w:spacing w:before="75" w:after="0"/>
      </w:pPr>
      <w:r>
        <w:rPr/>
        <w:t xml:space="preserve">第一节 海外投资分布</w:t>
      </w:r>
    </w:p>
    <w:p>
      <w:pPr>
        <w:spacing w:before="75" w:after="0"/>
      </w:pPr>
      <w:r>
        <w:rPr/>
        <w:t xml:space="preserve">一、境外资产配置比例</w:t>
      </w:r>
    </w:p>
    <w:p>
      <w:pPr>
        <w:spacing w:before="75" w:after="0"/>
      </w:pPr>
      <w:r>
        <w:rPr/>
        <w:t xml:space="preserve">二、重点区域投向</w:t>
      </w:r>
    </w:p>
    <w:p>
      <w:pPr>
        <w:spacing w:before="75" w:after="0"/>
      </w:pPr>
      <w:r>
        <w:rPr/>
        <w:t xml:space="preserve">三、汇率对冲策略</w:t>
      </w:r>
    </w:p>
    <w:p>
      <w:pPr>
        <w:spacing w:before="75" w:after="0"/>
      </w:pPr>
      <w:r>
        <w:rPr/>
        <w:t xml:space="preserve">第二节 国际业务协同</w:t>
      </w:r>
    </w:p>
    <w:p>
      <w:pPr>
        <w:spacing w:before="75" w:after="0"/>
      </w:pPr>
      <w:r>
        <w:rPr/>
        <w:t xml:space="preserve">一、再保险合作</w:t>
      </w:r>
    </w:p>
    <w:p>
      <w:pPr>
        <w:spacing w:before="75" w:after="0"/>
      </w:pPr>
      <w:r>
        <w:rPr/>
        <w:t xml:space="preserve">二、海外资管业务</w:t>
      </w:r>
    </w:p>
    <w:p>
      <w:pPr>
        <w:spacing w:before="75" w:after="0"/>
      </w:pPr>
      <w:r>
        <w:rPr/>
        <w:t xml:space="preserve">三、跨境服务能力</w:t>
      </w:r>
    </w:p>
    <w:p>
      <w:pPr>
        <w:spacing w:before="75" w:after="0"/>
      </w:pPr>
      <w:r>
        <w:rPr/>
        <w:t xml:space="preserve">第三节 国际评级影响</w:t>
      </w:r>
    </w:p>
    <w:p>
      <w:pPr>
        <w:spacing w:before="75" w:after="0"/>
      </w:pPr>
      <w:r>
        <w:rPr/>
        <w:t xml:space="preserve">一、主权评级关联</w:t>
      </w:r>
    </w:p>
    <w:p>
      <w:pPr>
        <w:spacing w:before="75" w:after="0"/>
      </w:pPr>
      <w:r>
        <w:rPr/>
        <w:t xml:space="preserve">二、机构评级变化</w:t>
      </w:r>
    </w:p>
    <w:p>
      <w:pPr>
        <w:spacing w:before="75" w:after="0"/>
      </w:pPr>
      <w:r>
        <w:rPr/>
        <w:t xml:space="preserve">三、融资成本影响</w:t>
      </w:r>
    </w:p>
    <w:p>
      <w:pPr>
        <w:spacing w:before="75" w:after="0"/>
      </w:pPr>
      <w:r>
        <w:rPr>
          <w:b w:val="1"/>
          <w:bCs w:val="1"/>
        </w:rPr>
        <w:t xml:space="preserve">第十五章 客户结构与行为分析</w:t>
      </w:r>
    </w:p>
    <w:p>
      <w:pPr>
        <w:spacing w:before="75" w:after="0"/>
      </w:pPr>
      <w:r>
        <w:rPr/>
        <w:t xml:space="preserve">第一节 客户画像演变</w:t>
      </w:r>
    </w:p>
    <w:p>
      <w:pPr>
        <w:spacing w:before="75" w:after="0"/>
      </w:pPr>
      <w:r>
        <w:rPr/>
        <w:t xml:space="preserve">一、年龄结构变化</w:t>
      </w:r>
    </w:p>
    <w:p>
      <w:pPr>
        <w:spacing w:before="75" w:after="0"/>
      </w:pPr>
      <w:r>
        <w:rPr/>
        <w:t xml:space="preserve">二、地域分布特征</w:t>
      </w:r>
    </w:p>
    <w:p>
      <w:pPr>
        <w:spacing w:before="75" w:after="0"/>
      </w:pPr>
      <w:r>
        <w:rPr/>
        <w:t xml:space="preserve">三、财富分层状况</w:t>
      </w:r>
    </w:p>
    <w:p>
      <w:pPr>
        <w:spacing w:before="75" w:after="0"/>
      </w:pPr>
      <w:r>
        <w:rPr/>
        <w:t xml:space="preserve">第二节 需求偏好变迁</w:t>
      </w:r>
    </w:p>
    <w:p>
      <w:pPr>
        <w:spacing w:before="75" w:after="0"/>
      </w:pPr>
      <w:r>
        <w:rPr/>
        <w:t xml:space="preserve">一、保障需求升级</w:t>
      </w:r>
    </w:p>
    <w:p>
      <w:pPr>
        <w:spacing w:before="75" w:after="0"/>
      </w:pPr>
      <w:r>
        <w:rPr/>
        <w:t xml:space="preserve">二、理财需求多元化</w:t>
      </w:r>
    </w:p>
    <w:p>
      <w:pPr>
        <w:spacing w:before="75" w:after="0"/>
      </w:pPr>
      <w:r>
        <w:rPr/>
        <w:t xml:space="preserve">三、服务体验要求</w:t>
      </w:r>
    </w:p>
    <w:p>
      <w:pPr>
        <w:spacing w:before="75" w:after="0"/>
      </w:pPr>
      <w:r>
        <w:rPr/>
        <w:t xml:space="preserve">第三节 数字化行为</w:t>
      </w:r>
    </w:p>
    <w:p>
      <w:pPr>
        <w:spacing w:before="75" w:after="0"/>
      </w:pPr>
      <w:r>
        <w:rPr/>
        <w:t xml:space="preserve">一、线上交互频率</w:t>
      </w:r>
    </w:p>
    <w:p>
      <w:pPr>
        <w:spacing w:before="75" w:after="0"/>
      </w:pPr>
      <w:r>
        <w:rPr/>
        <w:t xml:space="preserve">二、移动端渗透率</w:t>
      </w:r>
    </w:p>
    <w:p>
      <w:pPr>
        <w:spacing w:before="75" w:after="0"/>
      </w:pPr>
      <w:r>
        <w:rPr/>
        <w:t xml:space="preserve">三、智能工具接受度</w:t>
      </w:r>
    </w:p>
    <w:p>
      <w:pPr>
        <w:spacing w:before="75" w:after="0"/>
      </w:pPr>
      <w:r>
        <w:rPr>
          <w:b w:val="1"/>
          <w:bCs w:val="1"/>
        </w:rPr>
        <w:t xml:space="preserve">第十六章 资本充足与偿付能力</w:t>
      </w:r>
    </w:p>
    <w:p>
      <w:pPr>
        <w:spacing w:before="75" w:after="0"/>
      </w:pPr>
      <w:r>
        <w:rPr/>
        <w:t xml:space="preserve">第一节 偿付能力水平</w:t>
      </w:r>
    </w:p>
    <w:p>
      <w:pPr>
        <w:spacing w:before="75" w:after="0"/>
      </w:pPr>
      <w:r>
        <w:rPr/>
        <w:t xml:space="preserve">一、核心偿付能力充足率</w:t>
      </w:r>
    </w:p>
    <w:p>
      <w:pPr>
        <w:spacing w:before="75" w:after="0"/>
      </w:pPr>
      <w:r>
        <w:rPr/>
        <w:t xml:space="preserve">二、综合偿付能力充足率</w:t>
      </w:r>
    </w:p>
    <w:p>
      <w:pPr>
        <w:spacing w:before="75" w:after="0"/>
      </w:pPr>
      <w:r>
        <w:rPr/>
        <w:t xml:space="preserve">三、资本补充渠道</w:t>
      </w:r>
    </w:p>
    <w:p>
      <w:pPr>
        <w:spacing w:before="75" w:after="0"/>
      </w:pPr>
      <w:r>
        <w:rPr/>
        <w:t xml:space="preserve">第二节 资本配置效率</w:t>
      </w:r>
    </w:p>
    <w:p>
      <w:pPr>
        <w:spacing w:before="75" w:after="0"/>
      </w:pPr>
      <w:r>
        <w:rPr/>
        <w:t xml:space="preserve">一、风险资本占用</w:t>
      </w:r>
    </w:p>
    <w:p>
      <w:pPr>
        <w:spacing w:before="75" w:after="0"/>
      </w:pPr>
      <w:r>
        <w:rPr/>
        <w:t xml:space="preserve">二、资本回报率</w:t>
      </w:r>
    </w:p>
    <w:p>
      <w:pPr>
        <w:spacing w:before="75" w:after="0"/>
      </w:pPr>
      <w:r>
        <w:rPr/>
        <w:t xml:space="preserve">三、分红政策稳定</w:t>
      </w:r>
    </w:p>
    <w:p>
      <w:pPr>
        <w:spacing w:before="75" w:after="0"/>
      </w:pPr>
      <w:r>
        <w:rPr/>
        <w:t xml:space="preserve">第三节 资本规划前瞻</w:t>
      </w:r>
    </w:p>
    <w:p>
      <w:pPr>
        <w:spacing w:before="75" w:after="0"/>
      </w:pPr>
      <w:r>
        <w:rPr/>
        <w:t xml:space="preserve">一、内生资本生成</w:t>
      </w:r>
    </w:p>
    <w:p>
      <w:pPr>
        <w:spacing w:before="75" w:after="0"/>
      </w:pPr>
      <w:r>
        <w:rPr/>
        <w:t xml:space="preserve">二、外源性资本补充</w:t>
      </w:r>
    </w:p>
    <w:p>
      <w:pPr>
        <w:spacing w:before="75" w:after="0"/>
      </w:pPr>
      <w:r>
        <w:rPr/>
        <w:t xml:space="preserve">三、资本结构优化</w:t>
      </w:r>
    </w:p>
    <w:p>
      <w:pPr>
        <w:spacing w:before="75" w:after="0"/>
      </w:pPr>
      <w:r>
        <w:rPr>
          <w:b w:val="1"/>
          <w:bCs w:val="1"/>
        </w:rPr>
        <w:t xml:space="preserve">第十七章 2026-2031年发展前景预测</w:t>
      </w:r>
    </w:p>
    <w:p>
      <w:pPr>
        <w:spacing w:before="75" w:after="0"/>
      </w:pPr>
      <w:r>
        <w:rPr/>
        <w:t xml:space="preserve">第一节 宏观环境展望</w:t>
      </w:r>
    </w:p>
    <w:p>
      <w:pPr>
        <w:spacing w:before="75" w:after="0"/>
      </w:pPr>
      <w:r>
        <w:rPr/>
        <w:t xml:space="preserve">一、经济增速与保费弹性</w:t>
      </w:r>
    </w:p>
    <w:p>
      <w:pPr>
        <w:spacing w:before="75" w:after="0"/>
      </w:pPr>
      <w:r>
        <w:rPr/>
        <w:t xml:space="preserve">二、利率中枢预判</w:t>
      </w:r>
    </w:p>
    <w:p>
      <w:pPr>
        <w:spacing w:before="75" w:after="0"/>
      </w:pPr>
      <w:r>
        <w:rPr/>
        <w:t xml:space="preserve">三、监管政策取向</w:t>
      </w:r>
    </w:p>
    <w:p>
      <w:pPr>
        <w:spacing w:before="75" w:after="0"/>
      </w:pPr>
      <w:r>
        <w:rPr/>
        <w:t xml:space="preserve">第二节 业务增长预测</w:t>
      </w:r>
    </w:p>
    <w:p>
      <w:pPr>
        <w:spacing w:before="75" w:after="0"/>
      </w:pPr>
      <w:r>
        <w:rPr/>
        <w:t xml:space="preserve">一、保费收入复合增速</w:t>
      </w:r>
    </w:p>
    <w:p>
      <w:pPr>
        <w:spacing w:before="75" w:after="0"/>
      </w:pPr>
      <w:r>
        <w:rPr/>
        <w:t xml:space="preserve">二、新业务价值增长</w:t>
      </w:r>
    </w:p>
    <w:p>
      <w:pPr>
        <w:spacing w:before="75" w:after="0"/>
      </w:pPr>
      <w:r>
        <w:rPr/>
        <w:t xml:space="preserve">三、利润水平趋势</w:t>
      </w:r>
    </w:p>
    <w:p>
      <w:pPr>
        <w:spacing w:before="75" w:after="0"/>
      </w:pPr>
      <w:r>
        <w:rPr/>
        <w:t xml:space="preserve">第三节 结构优化方向</w:t>
      </w:r>
    </w:p>
    <w:p>
      <w:pPr>
        <w:spacing w:before="75" w:after="0"/>
      </w:pPr>
      <w:r>
        <w:rPr/>
        <w:t xml:space="preserve">一、保障型产品占比</w:t>
      </w:r>
    </w:p>
    <w:p>
      <w:pPr>
        <w:spacing w:before="75" w:after="0"/>
      </w:pPr>
      <w:r>
        <w:rPr/>
        <w:t xml:space="preserve">二、非车险业务权重</w:t>
      </w:r>
    </w:p>
    <w:p>
      <w:pPr>
        <w:spacing w:before="75" w:after="0"/>
      </w:pPr>
      <w:r>
        <w:rPr/>
        <w:t xml:space="preserve">三、投资收益率改善</w:t>
      </w:r>
    </w:p>
    <w:p>
      <w:pPr>
        <w:spacing w:before="75" w:after="0"/>
      </w:pPr>
      <w:r>
        <w:rPr>
          <w:b w:val="1"/>
          <w:bCs w:val="1"/>
        </w:rPr>
        <w:t xml:space="preserve">第十八章 风险挑战与应对策略</w:t>
      </w:r>
    </w:p>
    <w:p>
      <w:pPr>
        <w:spacing w:before="75" w:after="0"/>
      </w:pPr>
      <w:r>
        <w:rPr/>
        <w:t xml:space="preserve">第一节 利差损风险</w:t>
      </w:r>
    </w:p>
    <w:p>
      <w:pPr>
        <w:spacing w:before="75" w:after="0"/>
      </w:pPr>
      <w:r>
        <w:rPr/>
        <w:t xml:space="preserve">一、利率下行持续影响</w:t>
      </w:r>
    </w:p>
    <w:p>
      <w:pPr>
        <w:spacing w:before="75" w:after="0"/>
      </w:pPr>
      <w:r>
        <w:rPr/>
        <w:t xml:space="preserve">二、负债成本刚性</w:t>
      </w:r>
    </w:p>
    <w:p>
      <w:pPr>
        <w:spacing w:before="75" w:after="0"/>
      </w:pPr>
      <w:r>
        <w:rPr/>
        <w:t xml:space="preserve">三、资产负债匹配</w:t>
      </w:r>
    </w:p>
    <w:p>
      <w:pPr>
        <w:spacing w:before="75" w:after="0"/>
      </w:pPr>
      <w:r>
        <w:rPr/>
        <w:t xml:space="preserve">第二节 市场竞争风险</w:t>
      </w:r>
    </w:p>
    <w:p>
      <w:pPr>
        <w:spacing w:before="75" w:after="0"/>
      </w:pPr>
      <w:r>
        <w:rPr/>
        <w:t xml:space="preserve">一、存量市场博弈</w:t>
      </w:r>
    </w:p>
    <w:p>
      <w:pPr>
        <w:spacing w:before="75" w:after="0"/>
      </w:pPr>
      <w:r>
        <w:rPr/>
        <w:t xml:space="preserve">二、价格战压力</w:t>
      </w:r>
    </w:p>
    <w:p>
      <w:pPr>
        <w:spacing w:before="75" w:after="0"/>
      </w:pPr>
      <w:r>
        <w:rPr/>
        <w:t xml:space="preserve">三、人才流失挑战</w:t>
      </w:r>
    </w:p>
    <w:p>
      <w:pPr>
        <w:spacing w:before="75" w:after="0"/>
      </w:pPr>
      <w:r>
        <w:rPr/>
        <w:t xml:space="preserve">第三节 信用风险暴露</w:t>
      </w:r>
    </w:p>
    <w:p>
      <w:pPr>
        <w:spacing w:before="75" w:after="0"/>
      </w:pPr>
      <w:r>
        <w:rPr/>
        <w:t xml:space="preserve">一、地产链风险</w:t>
      </w:r>
    </w:p>
    <w:p>
      <w:pPr>
        <w:spacing w:before="75" w:after="0"/>
      </w:pPr>
      <w:r>
        <w:rPr/>
        <w:t xml:space="preserve">二、地方政府债务</w:t>
      </w:r>
    </w:p>
    <w:p>
      <w:pPr>
        <w:spacing w:before="75" w:after="0"/>
      </w:pPr>
      <w:r>
        <w:rPr/>
        <w:t xml:space="preserve">三、非标资产质量</w:t>
      </w:r>
    </w:p>
    <w:p>
      <w:pPr>
        <w:spacing w:before="75" w:after="0"/>
      </w:pPr>
      <w:r>
        <w:rPr>
          <w:b w:val="1"/>
          <w:bCs w:val="1"/>
        </w:rPr>
        <w:t xml:space="preserve">第十九章 战略路径与实施建议</w:t>
      </w:r>
    </w:p>
    <w:p>
      <w:pPr>
        <w:spacing w:before="75" w:after="0"/>
      </w:pPr>
      <w:r>
        <w:rPr/>
        <w:t xml:space="preserve">第一节 业务转型策略</w:t>
      </w:r>
    </w:p>
    <w:p>
      <w:pPr>
        <w:spacing w:before="75" w:after="0"/>
      </w:pPr>
      <w:r>
        <w:rPr/>
        <w:t xml:space="preserve">一、价值增长优先</w:t>
      </w:r>
    </w:p>
    <w:p>
      <w:pPr>
        <w:spacing w:before="75" w:after="0"/>
      </w:pPr>
      <w:r>
        <w:rPr/>
        <w:t xml:space="preserve">二、质量提升路径</w:t>
      </w:r>
    </w:p>
    <w:p>
      <w:pPr>
        <w:spacing w:before="75" w:after="0"/>
      </w:pPr>
      <w:r>
        <w:rPr/>
        <w:t xml:space="preserve">三、创新孵化机制</w:t>
      </w:r>
    </w:p>
    <w:p>
      <w:pPr>
        <w:spacing w:before="75" w:after="0"/>
      </w:pPr>
      <w:r>
        <w:rPr/>
        <w:t xml:space="preserve">第二节 渠道优化策略</w:t>
      </w:r>
    </w:p>
    <w:p>
      <w:pPr>
        <w:spacing w:before="75" w:after="0"/>
      </w:pPr>
      <w:r>
        <w:rPr/>
        <w:t xml:space="preserve">一、代理人精英化</w:t>
      </w:r>
    </w:p>
    <w:p>
      <w:pPr>
        <w:spacing w:before="75" w:after="0"/>
      </w:pPr>
      <w:r>
        <w:rPr/>
        <w:t xml:space="preserve">二、银保价值化</w:t>
      </w:r>
    </w:p>
    <w:p>
      <w:pPr>
        <w:spacing w:before="75" w:after="0"/>
      </w:pPr>
      <w:r>
        <w:rPr/>
        <w:t xml:space="preserve">三、线上生态化</w:t>
      </w:r>
    </w:p>
    <w:p>
      <w:pPr>
        <w:spacing w:before="75" w:after="0"/>
      </w:pPr>
      <w:r>
        <w:rPr/>
        <w:t xml:space="preserve">第三节 投资提升策略</w:t>
      </w:r>
    </w:p>
    <w:p>
      <w:pPr>
        <w:spacing w:before="75" w:after="0"/>
      </w:pPr>
      <w:r>
        <w:rPr/>
        <w:t xml:space="preserve">一、固收资产配置</w:t>
      </w:r>
    </w:p>
    <w:p>
      <w:pPr>
        <w:spacing w:before="75" w:after="0"/>
      </w:pPr>
      <w:r>
        <w:rPr/>
        <w:t xml:space="preserve">二、权益投资能力</w:t>
      </w:r>
    </w:p>
    <w:p>
      <w:pPr>
        <w:spacing w:before="75" w:after="0"/>
      </w:pPr>
      <w:r>
        <w:rPr/>
        <w:t xml:space="preserve">三、另类投资拓展</w:t>
      </w:r>
    </w:p>
    <w:p>
      <w:pPr>
        <w:spacing w:before="75" w:after="0"/>
      </w:pPr>
      <w:r>
        <w:rPr>
          <w:b w:val="1"/>
          <w:bCs w:val="1"/>
        </w:rPr>
        <w:t xml:space="preserve">第二十章 投资价值评估</w:t>
      </w:r>
    </w:p>
    <w:p>
      <w:pPr>
        <w:spacing w:before="75" w:after="0"/>
      </w:pPr>
      <w:r>
        <w:rPr/>
        <w:t xml:space="preserve">第一节 估值水平分析</w:t>
      </w:r>
    </w:p>
    <w:p>
      <w:pPr>
        <w:spacing w:before="75" w:after="0"/>
      </w:pPr>
      <w:r>
        <w:rPr/>
        <w:t xml:space="preserve">一、pev估值倍数</w:t>
      </w:r>
    </w:p>
    <w:p>
      <w:pPr>
        <w:spacing w:before="75" w:after="0"/>
      </w:pPr>
      <w:r>
        <w:rPr/>
        <w:t xml:space="preserve">二、pb估值对比</w:t>
      </w:r>
    </w:p>
    <w:p>
      <w:pPr>
        <w:spacing w:before="75" w:after="0"/>
      </w:pPr>
      <w:r>
        <w:rPr/>
        <w:t xml:space="preserve">三、股息率吸引力</w:t>
      </w:r>
    </w:p>
    <w:p>
      <w:pPr>
        <w:spacing w:before="75" w:after="0"/>
      </w:pPr>
      <w:r>
        <w:rPr/>
        <w:t xml:space="preserve">第二节 投资回报预测</w:t>
      </w:r>
    </w:p>
    <w:p>
      <w:pPr>
        <w:spacing w:before="75" w:after="0"/>
      </w:pPr>
      <w:r>
        <w:rPr/>
        <w:t xml:space="preserve">一、内含价值增长</w:t>
      </w:r>
    </w:p>
    <w:p>
      <w:pPr>
        <w:spacing w:before="75" w:after="0"/>
      </w:pPr>
      <w:r>
        <w:rPr/>
        <w:t xml:space="preserve">二、分红派息能力</w:t>
      </w:r>
    </w:p>
    <w:p>
      <w:pPr>
        <w:spacing w:before="75" w:after="0"/>
      </w:pPr>
      <w:r>
        <w:rPr/>
        <w:t xml:space="preserve">三、资本利得空间</w:t>
      </w:r>
    </w:p>
    <w:p>
      <w:pPr>
        <w:spacing w:before="75" w:after="0"/>
      </w:pPr>
      <w:r>
        <w:rPr/>
        <w:t xml:space="preserve">第三节 风险收益比</w:t>
      </w:r>
    </w:p>
    <w:p>
      <w:pPr>
        <w:spacing w:before="75" w:after="0"/>
      </w:pPr>
      <w:r>
        <w:rPr/>
        <w:t xml:space="preserve">一、波动率水平</w:t>
      </w:r>
    </w:p>
    <w:p>
      <w:pPr>
        <w:spacing w:before="75" w:after="0"/>
      </w:pPr>
      <w:r>
        <w:rPr/>
        <w:t xml:space="preserve">二、贝塔系数</w:t>
      </w:r>
    </w:p>
    <w:p>
      <w:pPr>
        <w:spacing w:before="75" w:after="0"/>
      </w:pPr>
      <w:r>
        <w:rPr/>
        <w:t xml:space="preserve">三、夏普比率</w:t>
      </w:r>
    </w:p>
    <w:p>
      <w:pPr>
        <w:spacing w:before="75" w:after="0"/>
      </w:pPr>
      <w:r>
        <w:rPr>
          <w:b w:val="1"/>
          <w:bCs w:val="1"/>
        </w:rPr>
        <w:t xml:space="preserve">第二十一章 研究结论与展望</w:t>
      </w:r>
    </w:p>
    <w:p>
      <w:pPr>
        <w:spacing w:before="75" w:after="0"/>
      </w:pPr>
      <w:r>
        <w:rPr/>
        <w:t xml:space="preserve">第一节 核心发现总结</w:t>
      </w:r>
    </w:p>
    <w:p>
      <w:pPr>
        <w:spacing w:before="75" w:after="0"/>
      </w:pPr>
      <w:r>
        <w:rPr/>
        <w:t xml:space="preserve">一、增长动能转换</w:t>
      </w:r>
    </w:p>
    <w:p>
      <w:pPr>
        <w:spacing w:before="75" w:after="0"/>
      </w:pPr>
      <w:r>
        <w:rPr/>
        <w:t xml:space="preserve">二、竞争优势强化</w:t>
      </w:r>
    </w:p>
    <w:p>
      <w:pPr>
        <w:spacing w:before="75" w:after="0"/>
      </w:pPr>
      <w:r>
        <w:rPr/>
        <w:t xml:space="preserve">三、转型成效显现</w:t>
      </w:r>
    </w:p>
    <w:p>
      <w:pPr>
        <w:spacing w:before="75" w:after="0"/>
      </w:pPr>
      <w:r>
        <w:rPr/>
        <w:t xml:space="preserve">第二节 未来趋势展望</w:t>
      </w:r>
    </w:p>
    <w:p>
      <w:pPr>
        <w:spacing w:before="75" w:after="0"/>
      </w:pPr>
      <w:r>
        <w:rPr/>
        <w:t xml:space="preserve">一、高质量发展路径</w:t>
      </w:r>
    </w:p>
    <w:p>
      <w:pPr>
        <w:spacing w:before="75" w:after="0"/>
      </w:pPr>
      <w:r>
        <w:rPr/>
        <w:t xml:space="preserve">二、科技驱动深化</w:t>
      </w:r>
    </w:p>
    <w:p>
      <w:pPr>
        <w:spacing w:before="75" w:after="0"/>
      </w:pPr>
      <w:r>
        <w:rPr/>
        <w:t xml:space="preserve">三、国际地位提升</w:t>
      </w:r>
    </w:p>
    <w:p>
      <w:pPr>
        <w:spacing w:before="75" w:after="0"/>
      </w:pPr>
      <w:r>
        <w:rPr>
          <w:b w:val="1"/>
          <w:bCs w:val="1"/>
        </w:rPr>
        <w:t xml:space="preserve">图表目录</w:t>
      </w:r>
    </w:p>
    <w:p>
      <w:pPr>
        <w:spacing w:before="75" w:after="0"/>
      </w:pPr>
      <w:r>
        <w:rPr/>
        <w:t xml:space="preserve">图表：2023-2025年全球保险保费收入统计</w:t>
      </w:r>
    </w:p>
    <w:p>
      <w:pPr>
        <w:spacing w:before="75" w:after="0"/>
      </w:pPr>
      <w:r>
        <w:rPr/>
        <w:t xml:space="preserve">图表：2023-2025年中国保险行业保费收入与增速</w:t>
      </w:r>
    </w:p>
    <w:p>
      <w:pPr>
        <w:spacing w:before="75" w:after="0"/>
      </w:pPr>
      <w:r>
        <w:rPr/>
        <w:t xml:space="preserve">图表：2023-2025年寿险保费收入与市场份额</w:t>
      </w:r>
    </w:p>
    <w:p>
      <w:pPr>
        <w:spacing w:before="75" w:after="0"/>
      </w:pPr>
      <w:r>
        <w:rPr/>
        <w:t xml:space="preserve">图表：2023-2025年产险保险服务收入结构</w:t>
      </w:r>
    </w:p>
    <w:p>
      <w:pPr>
        <w:spacing w:before="75" w:after="0"/>
      </w:pPr>
      <w:r>
        <w:rPr/>
        <w:t xml:space="preserve">图表：2023-2025年代理人数量与人均产能变化</w:t>
      </w:r>
    </w:p>
    <w:p>
      <w:pPr>
        <w:spacing w:before="75" w:after="0"/>
      </w:pPr>
      <w:r>
        <w:rPr/>
        <w:t xml:space="preserve">图表：2023-2025年保单继续率改善幅度</w:t>
      </w:r>
    </w:p>
    <w:p>
      <w:pPr>
        <w:spacing w:before="75" w:after="0"/>
      </w:pPr>
      <w:r>
        <w:rPr/>
        <w:t xml:space="preserve">图表：2023-2025年综合投资收益率走势</w:t>
      </w:r>
    </w:p>
    <w:p>
      <w:pPr>
        <w:spacing w:before="75" w:after="0"/>
      </w:pPr>
      <w:r>
        <w:rPr/>
        <w:t xml:space="preserve">图表：2023-2025年综合成本率优化趋势</w:t>
      </w:r>
    </w:p>
    <w:p>
      <w:pPr>
        <w:spacing w:before="75" w:after="0"/>
      </w:pPr>
      <w:r>
        <w:rPr/>
        <w:t xml:space="preserve">图表：2023-2025年个人客户数与客均合同数</w:t>
      </w:r>
    </w:p>
    <w:p>
      <w:pPr>
        <w:spacing w:before="75" w:after="0"/>
      </w:pPr>
      <w:r>
        <w:rPr/>
        <w:t xml:space="preserve">图表：2023-2025年科技研发投入强度</w:t>
      </w:r>
    </w:p>
    <w:p>
      <w:pPr>
        <w:spacing w:before="75" w:after="0"/>
      </w:pPr>
      <w:r>
        <w:rPr/>
        <w:t xml:space="preserve">图表：2023-2025年保险资金投资组合规模</w:t>
      </w:r>
    </w:p>
    <w:p>
      <w:pPr>
        <w:spacing w:before="75" w:after="0"/>
      </w:pPr>
      <w:r>
        <w:rPr/>
        <w:t xml:space="preserve">图表：2023-2025年偿付能力充足率变化</w:t>
      </w:r>
    </w:p>
    <w:p>
      <w:pPr>
        <w:spacing w:before="75" w:after="0"/>
      </w:pPr>
      <w:r>
        <w:rPr/>
        <w:t xml:space="preserve">图表：2023-2025年esg评级提升轨迹</w:t>
      </w:r>
    </w:p>
    <w:p>
      <w:pPr>
        <w:spacing w:before="75" w:after="0"/>
      </w:pPr>
      <w:r>
        <w:rPr/>
        <w:t xml:space="preserve">图表：2023-2025年绿色投资规模增长</w:t>
      </w:r>
    </w:p>
    <w:p>
      <w:pPr>
        <w:spacing w:before="75" w:after="0"/>
      </w:pPr>
      <w:r>
        <w:rPr/>
        <w:t xml:space="preserve">图表：2023-2025年数字化渠道保费占比</w:t>
      </w:r>
    </w:p>
    <w:p>
      <w:pPr>
        <w:spacing w:before="75" w:after="0"/>
      </w:pPr>
      <w:r>
        <w:rPr/>
        <w:t xml:space="preserve">图表：2026-2031年保费收入预测</w:t>
      </w:r>
    </w:p>
    <w:p>
      <w:pPr>
        <w:spacing w:before="75" w:after="0"/>
      </w:pPr>
      <w:r>
        <w:rPr/>
        <w:t xml:space="preserve">图表：2026-2031年新业务价值增长预测</w:t>
      </w:r>
    </w:p>
    <w:p>
      <w:pPr>
        <w:spacing w:before="75" w:after="0"/>
      </w:pPr>
      <w:r>
        <w:rPr/>
        <w:t xml:space="preserve">图表：2026-2031年投资收益率预测</w:t>
      </w:r>
    </w:p>
    <w:p>
      <w:pPr>
        <w:spacing w:before="75" w:after="0"/>
      </w:pPr>
      <w:r>
        <w:rPr/>
        <w:t xml:space="preserve">图表：2026-2031年客户数增长预测</w:t>
      </w:r>
    </w:p>
    <w:p>
      <w:pPr>
        <w:spacing w:before="75" w:after="0"/>
      </w:pPr>
      <w:r>
        <w:rPr/>
        <w:t xml:space="preserve">图表：2026-2031年偿付能力预测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2026-2031年中国保险行业深度调研分析报告</dc:title>
  <dc:description>2026-2031年中国保险行业深度调研分析报告</dc:description>
  <dc:subject>2026-2031年中国保险行业深度调研分析报告</dc:subject>
  <cp:keywords>研究报告</cp:keywords>
  <cp:category>研究报告</cp:category>
  <cp:lastModifiedBy>北京中道泰和信息咨询有限公司</cp:lastModifiedBy>
  <dcterms:created xsi:type="dcterms:W3CDTF">2026-03-29T10:56:43+08:00</dcterms:created>
  <dcterms:modified xsi:type="dcterms:W3CDTF">2026-03-29T10:56:43+08:00</dcterms:modified>
</cp:coreProperties>
</file>

<file path=docProps/custom.xml><?xml version="1.0" encoding="utf-8"?>
<Properties xmlns="http://schemas.openxmlformats.org/officeDocument/2006/custom-properties" xmlns:vt="http://schemas.openxmlformats.org/officeDocument/2006/docPropsVTypes"/>
</file>