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2026-2031年中国对冲基金软件行业深度调研及市场前景预测报告</w:t>
      </w:r>
    </w:p>
    <w:p>
      <w:pPr>
        <w:spacing w:after="150"/>
      </w:pPr>
      <w:r>
        <w:rPr>
          <w:b w:val="1"/>
          <w:bCs w:val="1"/>
        </w:rPr>
        <w:t xml:space="preserve">报告简介</w:t>
      </w:r>
    </w:p>
    <w:p>
      <w:pPr>
        <w:spacing w:after="150"/>
      </w:pPr>
      <w:r>
        <w:rPr/>
        <w:t xml:space="preserve">对冲基金软件是专为对冲基金管理设计的综合性技术解决方案，通过集成数据分析、交易执行、风险监控与报告生成等功能，助力基金经理实现复杂策略的高效运作与风险精准把控。其核心价值在于将金融工程、量化分析与信息技术深度融合，为高净值投资者和机构提供灵活且专业的投资工具。</w:t>
      </w:r>
    </w:p>
    <w:p>
      <w:pPr>
        <w:spacing w:after="150"/>
      </w:pPr>
      <w:r>
        <w:rPr/>
        <w:t xml:space="preserve">这类软件通常涵盖多源数据整合模块，可实时抓取市场价格、宏观经济指标、新闻舆情等结构化与非结构化数据，为策略开发提供数据基础。量化交易引擎支持算法交易、高频交易等自动化执行方式，通过预设规则或机器学习模型，在毫秒级时间内完成订单拆分、智能路由等操作，降低人为干预误差。风险管理系统则通过压力测试、情景模拟、VaR(在险价值)计算等功能，对市场风险、信用风险、流动性风险进行多维度监控，当持仓组合触及预设阈值时自动触发预警或平仓机制。</w:t>
      </w:r>
    </w:p>
    <w:p>
      <w:pPr>
        <w:spacing w:after="150"/>
      </w:pPr>
      <w:r>
        <w:rPr/>
        <w:t xml:space="preserve">此外，对冲基金软件还具备强大的报表生成能力，可自定义生成投资者报告、监管合规报告等文档，满足不同主体的信息披露需求。部分平台如Intralinks的InvestorVision，还通过云端门户实现基金经理与投资者的安全数据共享，提升沟通效率。技术架构上，这类软件多采用模块化设计，支持跨资产类别(股票、债券、衍生品等)与多策略(多空对冲、套利、事件驱动等)的灵活配置，同时通过API接口与经纪商、交易所系统无缝对接，确保交易执行的时效性与稳定性。</w:t>
      </w:r>
    </w:p>
    <w:p>
      <w:pPr>
        <w:spacing w:after="150"/>
      </w:pPr>
      <w:r>
        <w:rPr/>
        <w:t xml:space="preserve">随着金融科技发展，对冲基金软件正向智能化方向演进，例如利用自然语言处理技术解析新闻情绪，或通过深度学习模型优化交易策略。但其本质仍是工具，需结合专业投资团队的经验与判断，方能在复杂市场环境中实现风险与收益的平衡。</w:t>
      </w:r>
    </w:p>
    <w:p>
      <w:pPr>
        <w:spacing w:after="150"/>
      </w:pPr>
      <w:r>
        <w:rPr/>
        <w:t xml:space="preserve">对冲基金软件行业研究报告旨在从国家经济和产业发展的战略入手，分析对冲基金软件未来的政策走向和监管体制的发展趋势，挖掘对冲基金软件行业的市场潜力，基于重点细分市场领域的深度研究，提供对产业规模、产业结构、区域结构、市场竞争、产业盈利水平等多个角度市场变化的生动描绘，清晰发展方向。预测未来对冲基金软件业务的市场前景，以帮助客户拨开政策迷雾，寻找对冲基金软件行业的投资商机。报告在大量的分析、预测的基础上，研究了对冲基金软件行业今后的发展与投资策略，为对冲基金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对冲基金软件相关企业和科研单位等的实地调查，对国内外对冲基金软件行业的供给与需求状况、相关行业的发展状况、市场消费变化等进行了分析。重点研究了主要对冲基金软件品牌的发展状况，以及未来中国对冲基金软件行业将面临的机遇以及企业的应对策略。报告还分析了对冲基金软件市场的竞争格局，行业的发展动向，并对行业相关政策进行了介绍和政策趋向研判，是对冲基金软件生产企业、科研单位、零售企业等单位准确了解目前对冲基金软件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中国对冲基金软件行业发展概述</w:t>
      </w:r>
    </w:p>
    <w:p>
      <w:pPr>
        <w:spacing w:before="75" w:after="0"/>
      </w:pPr>
      <w:r>
        <w:rPr/>
        <w:t xml:space="preserve">第一节 行业定义与核心范畴界定</w:t>
      </w:r>
    </w:p>
    <w:p>
      <w:pPr>
        <w:spacing w:before="75" w:after="0"/>
      </w:pPr>
      <w:r>
        <w:rPr/>
        <w:t xml:space="preserve">一、对冲基金软件的内涵</w:t>
      </w:r>
    </w:p>
    <w:p>
      <w:pPr>
        <w:spacing w:before="75" w:after="0"/>
      </w:pPr>
      <w:r>
        <w:rPr/>
        <w:t xml:space="preserve">二、与传统资管软件、量化交易平台的区别与交叉边界</w:t>
      </w:r>
    </w:p>
    <w:p>
      <w:pPr>
        <w:spacing w:before="75" w:after="0"/>
      </w:pPr>
      <w:r>
        <w:rPr/>
        <w:t xml:space="preserve">三、本报告研究对象范围：面向私募证券基金、对冲策略机构的专业级软件服务</w:t>
      </w:r>
    </w:p>
    <w:p>
      <w:pPr>
        <w:spacing w:before="75" w:after="0"/>
      </w:pPr>
      <w:r>
        <w:rPr/>
        <w:t xml:space="preserve">第二节 行业发展驱动因素</w:t>
      </w:r>
    </w:p>
    <w:p>
      <w:pPr>
        <w:spacing w:before="75" w:after="0"/>
      </w:pPr>
      <w:r>
        <w:rPr/>
        <w:t xml:space="preserve">一、中国私募证券基金管理规模持续扩张带来的系统化需求</w:t>
      </w:r>
    </w:p>
    <w:p>
      <w:pPr>
        <w:spacing w:before="75" w:after="0"/>
      </w:pPr>
      <w:r>
        <w:rPr/>
        <w:t xml:space="preserve">二、监管趋严推动合规与风控系统强制部署</w:t>
      </w:r>
    </w:p>
    <w:p>
      <w:pPr>
        <w:spacing w:before="75" w:after="0"/>
      </w:pPr>
      <w:r>
        <w:rPr/>
        <w:t xml:space="preserve">三、量化与高频策略普及加速对高性能计算平台依赖</w:t>
      </w:r>
    </w:p>
    <w:p>
      <w:pPr>
        <w:spacing w:before="75" w:after="0"/>
      </w:pPr>
      <w:r>
        <w:rPr/>
        <w:t xml:space="preserve">第三节 政策与制度环境演变</w:t>
      </w:r>
    </w:p>
    <w:p>
      <w:pPr>
        <w:spacing w:before="75" w:after="0"/>
      </w:pPr>
      <w:r>
        <w:rPr/>
        <w:t xml:space="preserve">一、《私募投资基金监督管理条例》对信息系统建设的明确要求</w:t>
      </w:r>
    </w:p>
    <w:p>
      <w:pPr>
        <w:spacing w:before="75" w:after="0"/>
      </w:pPr>
      <w:r>
        <w:rPr/>
        <w:t xml:space="preserve">二、中基协ambers系统对接标准对软件接口规范的影响</w:t>
      </w:r>
    </w:p>
    <w:p>
      <w:pPr>
        <w:spacing w:before="75" w:after="0"/>
      </w:pPr>
      <w:r>
        <w:rPr/>
        <w:t xml:space="preserve">三、数据安全法与金融行业信创政策对国产替代的催化作用</w:t>
      </w:r>
    </w:p>
    <w:p>
      <w:pPr>
        <w:spacing w:before="75" w:after="0"/>
      </w:pPr>
      <w:r>
        <w:rPr>
          <w:b w:val="1"/>
          <w:bCs w:val="1"/>
        </w:rPr>
        <w:t xml:space="preserve">第二章 2023-2025年全球对冲基金软件行业发展现状与趋势</w:t>
      </w:r>
    </w:p>
    <w:p>
      <w:pPr>
        <w:spacing w:before="75" w:after="0"/>
      </w:pPr>
      <w:r>
        <w:rPr/>
        <w:t xml:space="preserve">第一节 全球市场格局与区域分布</w:t>
      </w:r>
    </w:p>
    <w:p>
      <w:pPr>
        <w:spacing w:before="75" w:after="0"/>
      </w:pPr>
      <w:r>
        <w:rPr/>
        <w:t xml:space="preserve">一、北美主导地位：以bloomberg、factset、charles river为核心的生态体系</w:t>
      </w:r>
    </w:p>
    <w:p>
      <w:pPr>
        <w:spacing w:before="75" w:after="0"/>
      </w:pPr>
      <w:r>
        <w:rPr/>
        <w:t xml:space="preserve">二、欧洲市场特色：注重esg整合与mifid ii合规功能嵌入</w:t>
      </w:r>
    </w:p>
    <w:p>
      <w:pPr>
        <w:spacing w:before="75" w:after="0"/>
      </w:pPr>
      <w:r>
        <w:rPr/>
        <w:t xml:space="preserve">三、亚太新兴力量：新加坡、日本本地化平台崛起</w:t>
      </w:r>
    </w:p>
    <w:p>
      <w:pPr>
        <w:spacing w:before="75" w:after="0"/>
      </w:pPr>
      <w:r>
        <w:rPr/>
        <w:t xml:space="preserve">第二节 主流技术架构演进</w:t>
      </w:r>
    </w:p>
    <w:p>
      <w:pPr>
        <w:spacing w:before="75" w:after="0"/>
      </w:pPr>
      <w:r>
        <w:rPr/>
        <w:t xml:space="preserve">一、云原生架构在对冲基金软件中的渗透率提升</w:t>
      </w:r>
    </w:p>
    <w:p>
      <w:pPr>
        <w:spacing w:before="75" w:after="0"/>
      </w:pPr>
      <w:r>
        <w:rPr/>
        <w:t xml:space="preserve">二、低延迟交易引擎与fpga硬件加速应用进展</w:t>
      </w:r>
    </w:p>
    <w:p>
      <w:pPr>
        <w:spacing w:before="75" w:after="0"/>
      </w:pPr>
      <w:r>
        <w:rPr/>
        <w:t xml:space="preserve">三、ai驱动的信号生成与组合再平衡模块商业化落地</w:t>
      </w:r>
    </w:p>
    <w:p>
      <w:pPr>
        <w:spacing w:before="75" w:after="0"/>
      </w:pPr>
      <w:r>
        <w:rPr/>
        <w:t xml:space="preserve">第三节 国际头部厂商战略动向</w:t>
      </w:r>
    </w:p>
    <w:p>
      <w:pPr>
        <w:spacing w:before="75" w:after="0"/>
      </w:pPr>
      <w:r>
        <w:rPr/>
        <w:t xml:space="preserve">一、彭博终端向私募客户定制化模块扩展</w:t>
      </w:r>
    </w:p>
    <w:p>
      <w:pPr>
        <w:spacing w:before="75" w:after="0"/>
      </w:pPr>
      <w:r>
        <w:rPr/>
        <w:t xml:space="preserve">二、simcorp收购后整合能力强化路径</w:t>
      </w:r>
    </w:p>
    <w:p>
      <w:pPr>
        <w:spacing w:before="75" w:after="0"/>
      </w:pPr>
      <w:r>
        <w:rPr/>
        <w:t xml:space="preserve">三、aladdin平台向中小型对冲基金开放saas版本</w:t>
      </w:r>
    </w:p>
    <w:p>
      <w:pPr>
        <w:spacing w:before="75" w:after="0"/>
      </w:pPr>
      <w:r>
        <w:rPr>
          <w:b w:val="1"/>
          <w:bCs w:val="1"/>
        </w:rPr>
        <w:t xml:space="preserve">第三章 2023-2025年中国对冲基金软件市场容量与增长动力</w:t>
      </w:r>
    </w:p>
    <w:p>
      <w:pPr>
        <w:spacing w:before="75" w:after="0"/>
      </w:pPr>
      <w:r>
        <w:rPr/>
        <w:t xml:space="preserve">第一节 市场规模测算与结构拆解</w:t>
      </w:r>
    </w:p>
    <w:p>
      <w:pPr>
        <w:spacing w:before="75" w:after="0"/>
      </w:pPr>
      <w:r>
        <w:rPr/>
        <w:t xml:space="preserve">一、按软件类型划分：投研系统、交易系统、风控系统、合规报送系统占比</w:t>
      </w:r>
    </w:p>
    <w:p>
      <w:pPr>
        <w:spacing w:before="75" w:after="0"/>
      </w:pPr>
      <w:r>
        <w:rPr/>
        <w:t xml:space="preserve">二、按客户规模划分：百亿级私募 vs 中小型私募采购预算差异</w:t>
      </w:r>
    </w:p>
    <w:p>
      <w:pPr>
        <w:spacing w:before="75" w:after="0"/>
      </w:pPr>
      <w:r>
        <w:rPr/>
        <w:t xml:space="preserve">三、按部署模式划分：本地部署、私有云、公有云使用比例变化</w:t>
      </w:r>
    </w:p>
    <w:p>
      <w:pPr>
        <w:spacing w:before="75" w:after="0"/>
      </w:pPr>
      <w:r>
        <w:rPr/>
        <w:t xml:space="preserve">第二节 增长核心驱动力分析</w:t>
      </w:r>
    </w:p>
    <w:p>
      <w:pPr>
        <w:spacing w:before="75" w:after="0"/>
      </w:pPr>
      <w:r>
        <w:rPr/>
        <w:t xml:space="preserve">一、私募证券基金数量与管理资产规模双增长(2023-2025年cagr)</w:t>
      </w:r>
    </w:p>
    <w:p>
      <w:pPr>
        <w:spacing w:before="75" w:after="0"/>
      </w:pPr>
      <w:r>
        <w:rPr/>
        <w:t xml:space="preserve">二、策略复杂度提升催生多因子回测与另类数据接入需求</w:t>
      </w:r>
    </w:p>
    <w:p>
      <w:pPr>
        <w:spacing w:before="75" w:after="0"/>
      </w:pPr>
      <w:r>
        <w:rPr/>
        <w:t xml:space="preserve">三、监管报送自动化成为刚性采购动机</w:t>
      </w:r>
    </w:p>
    <w:p>
      <w:pPr>
        <w:spacing w:before="75" w:after="0"/>
      </w:pPr>
      <w:r>
        <w:rPr/>
        <w:t xml:space="preserve">第三节 市场痛点与制约因素</w:t>
      </w:r>
    </w:p>
    <w:p>
      <w:pPr>
        <w:spacing w:before="75" w:after="0"/>
      </w:pPr>
      <w:r>
        <w:rPr/>
        <w:t xml:space="preserve">一、高端人才稀缺导致定制开发周期长</w:t>
      </w:r>
    </w:p>
    <w:p>
      <w:pPr>
        <w:spacing w:before="75" w:after="0"/>
      </w:pPr>
      <w:r>
        <w:rPr/>
        <w:t xml:space="preserve">二、国外软件本地化适配不足</w:t>
      </w:r>
    </w:p>
    <w:p>
      <w:pPr>
        <w:spacing w:before="75" w:after="0"/>
      </w:pPr>
      <w:r>
        <w:rPr/>
        <w:t xml:space="preserve">三、中小型私募it预算有限抑制高端系统采购</w:t>
      </w:r>
    </w:p>
    <w:p>
      <w:pPr>
        <w:spacing w:before="75" w:after="0"/>
      </w:pPr>
      <w:r>
        <w:rPr>
          <w:b w:val="1"/>
          <w:bCs w:val="1"/>
        </w:rPr>
        <w:t xml:space="preserve">第四章 2023-2025年对冲基金软件产品分类与功能模块解析</w:t>
      </w:r>
    </w:p>
    <w:p>
      <w:pPr>
        <w:spacing w:before="75" w:after="0"/>
      </w:pPr>
      <w:r>
        <w:rPr/>
        <w:t xml:space="preserve">第一节 按核心功能划分</w:t>
      </w:r>
    </w:p>
    <w:p>
      <w:pPr>
        <w:spacing w:before="75" w:after="0"/>
      </w:pPr>
      <w:r>
        <w:rPr/>
        <w:t xml:space="preserve">一、投资组合管理系统(pms)：持仓跟踪、绩效归因、费用核算</w:t>
      </w:r>
    </w:p>
    <w:p>
      <w:pPr>
        <w:spacing w:before="75" w:after="0"/>
      </w:pPr>
      <w:r>
        <w:rPr/>
        <w:t xml:space="preserve">二、订单与执行管理系统(oms/ems)：智能路由、算法交易、流动性聚合</w:t>
      </w:r>
    </w:p>
    <w:p>
      <w:pPr>
        <w:spacing w:before="75" w:after="0"/>
      </w:pPr>
      <w:r>
        <w:rPr/>
        <w:t xml:space="preserve">三、风险管理系统(rms)：var计算、压力测试、情景模拟</w:t>
      </w:r>
    </w:p>
    <w:p>
      <w:pPr>
        <w:spacing w:before="75" w:after="0"/>
      </w:pPr>
      <w:r>
        <w:rPr/>
        <w:t xml:space="preserve">四、合规与监管报送系统：中基协、人行、外汇局多端口对接</w:t>
      </w:r>
    </w:p>
    <w:p>
      <w:pPr>
        <w:spacing w:before="75" w:after="0"/>
      </w:pPr>
      <w:r>
        <w:rPr/>
        <w:t xml:space="preserve">第二节 按技术层级划分</w:t>
      </w:r>
    </w:p>
    <w:p>
      <w:pPr>
        <w:spacing w:before="75" w:after="0"/>
      </w:pPr>
      <w:r>
        <w:rPr/>
        <w:t xml:space="preserve">一、基础数据平台：行情、基本面、舆情、另类数据清洗与存储</w:t>
      </w:r>
    </w:p>
    <w:p>
      <w:pPr>
        <w:spacing w:before="75" w:after="0"/>
      </w:pPr>
      <w:r>
        <w:rPr/>
        <w:t xml:space="preserve">二、策略开发环境：python/r集成、回测框架、实盘模拟器</w:t>
      </w:r>
    </w:p>
    <w:p>
      <w:pPr>
        <w:spacing w:before="75" w:after="0"/>
      </w:pPr>
      <w:r>
        <w:rPr/>
        <w:t xml:space="preserve">三、运维与监控层：系统健康度、交易异常告警、灾备切换</w:t>
      </w:r>
    </w:p>
    <w:p>
      <w:pPr>
        <w:spacing w:before="75" w:after="0"/>
      </w:pPr>
      <w:r>
        <w:rPr/>
        <w:t xml:space="preserve">第三节 创新功能模块发展趋势</w:t>
      </w:r>
    </w:p>
    <w:p>
      <w:pPr>
        <w:spacing w:before="75" w:after="0"/>
      </w:pPr>
      <w:r>
        <w:rPr/>
        <w:t xml:space="preserve">一、ai因子挖掘平台与自动化策略生成</w:t>
      </w:r>
    </w:p>
    <w:p>
      <w:pPr>
        <w:spacing w:before="75" w:after="0"/>
      </w:pPr>
      <w:r>
        <w:rPr/>
        <w:t xml:space="preserve">二、跨资产类别统一视图(股票、期货、期权、债券联动)</w:t>
      </w:r>
    </w:p>
    <w:p>
      <w:pPr>
        <w:spacing w:before="75" w:after="0"/>
      </w:pPr>
      <w:r>
        <w:rPr/>
        <w:t xml:space="preserve">三、绿色金融指标嵌入esg风险评估模块</w:t>
      </w:r>
    </w:p>
    <w:p>
      <w:pPr>
        <w:spacing w:before="75" w:after="0"/>
      </w:pPr>
      <w:r>
        <w:rPr>
          <w:b w:val="1"/>
          <w:bCs w:val="1"/>
        </w:rPr>
        <w:t xml:space="preserve">第五章 2023-2025年下游应用场景与客户需求分层</w:t>
      </w:r>
    </w:p>
    <w:p>
      <w:pPr>
        <w:spacing w:before="75" w:after="0"/>
      </w:pPr>
      <w:r>
        <w:rPr/>
        <w:t xml:space="preserve">第一节 头部百亿私募需求特征</w:t>
      </w:r>
    </w:p>
    <w:p>
      <w:pPr>
        <w:spacing w:before="75" w:after="0"/>
      </w:pPr>
      <w:r>
        <w:rPr/>
        <w:t xml:space="preserve">一、全栈自研倾向与第三方系统集成并存</w:t>
      </w:r>
    </w:p>
    <w:p>
      <w:pPr>
        <w:spacing w:before="75" w:after="0"/>
      </w:pPr>
      <w:r>
        <w:rPr/>
        <w:t xml:space="preserve">二、对低延迟、高并发、高可用性要求极高</w:t>
      </w:r>
    </w:p>
    <w:p>
      <w:pPr>
        <w:spacing w:before="75" w:after="0"/>
      </w:pPr>
      <w:r>
        <w:rPr/>
        <w:t xml:space="preserve">三、定制化api对接券商、交易所、托管行</w:t>
      </w:r>
    </w:p>
    <w:p>
      <w:pPr>
        <w:spacing w:before="75" w:after="0"/>
      </w:pPr>
      <w:r>
        <w:rPr/>
        <w:t xml:space="preserve">第二节 中型私募(10-100亿)采购行为</w:t>
      </w:r>
    </w:p>
    <w:p>
      <w:pPr>
        <w:spacing w:before="75" w:after="0"/>
      </w:pPr>
      <w:r>
        <w:rPr/>
        <w:t xml:space="preserve">一、偏好模块化saas产品，注重性价比</w:t>
      </w:r>
    </w:p>
    <w:p>
      <w:pPr>
        <w:spacing w:before="75" w:after="0"/>
      </w:pPr>
      <w:r>
        <w:rPr/>
        <w:t xml:space="preserve">二、对中文界面、本土客服响应速度敏感</w:t>
      </w:r>
    </w:p>
    <w:p>
      <w:pPr>
        <w:spacing w:before="75" w:after="0"/>
      </w:pPr>
      <w:r>
        <w:rPr/>
        <w:t xml:space="preserve">三、倾向于“投研+交易”一体化解决方案</w:t>
      </w:r>
    </w:p>
    <w:p>
      <w:pPr>
        <w:spacing w:before="75" w:after="0"/>
      </w:pPr>
      <w:r>
        <w:rPr/>
        <w:t xml:space="preserve">第三节 小型及初创私募需求痛点</w:t>
      </w:r>
    </w:p>
    <w:p>
      <w:pPr>
        <w:spacing w:before="75" w:after="0"/>
      </w:pPr>
      <w:r>
        <w:rPr/>
        <w:t xml:space="preserve">一、预算有限，倾向轻量级工具包或开源框架改造</w:t>
      </w:r>
    </w:p>
    <w:p>
      <w:pPr>
        <w:spacing w:before="75" w:after="0"/>
      </w:pPr>
      <w:r>
        <w:rPr/>
        <w:t xml:space="preserve">二、对合规报送自动化需求迫切但支付能力弱</w:t>
      </w:r>
    </w:p>
    <w:p>
      <w:pPr>
        <w:spacing w:before="75" w:after="0"/>
      </w:pPr>
      <w:r>
        <w:rPr/>
        <w:t xml:space="preserve">三、依赖服务商提供策略模板与培训支持</w:t>
      </w:r>
    </w:p>
    <w:p>
      <w:pPr>
        <w:spacing w:before="75" w:after="0"/>
      </w:pPr>
      <w:r>
        <w:rPr>
          <w:b w:val="1"/>
          <w:bCs w:val="1"/>
        </w:rPr>
        <w:t xml:space="preserve">第六章 2023-2025年行业竞争格局与市场集中度分析</w:t>
      </w:r>
    </w:p>
    <w:p>
      <w:pPr>
        <w:spacing w:before="75" w:after="0"/>
      </w:pPr>
      <w:r>
        <w:rPr/>
        <w:t xml:space="preserve">第一节 市场参与者类型</w:t>
      </w:r>
    </w:p>
    <w:p>
      <w:pPr>
        <w:spacing w:before="75" w:after="0"/>
      </w:pPr>
      <w:r>
        <w:rPr/>
        <w:t xml:space="preserve">一、国际巨头：彭博、路孚特、factset在华业务布局</w:t>
      </w:r>
    </w:p>
    <w:p>
      <w:pPr>
        <w:spacing w:before="75" w:after="0"/>
      </w:pPr>
      <w:r>
        <w:rPr/>
        <w:t xml:space="preserve">二、本土综合金融科技企业：恒生电子、赢时胜、金证股份</w:t>
      </w:r>
    </w:p>
    <w:p>
      <w:pPr>
        <w:spacing w:before="75" w:after="0"/>
      </w:pPr>
      <w:r>
        <w:rPr/>
        <w:t xml:space="preserve">三、垂直领域创业公司：专注量化回测、算法交易等细分赛道</w:t>
      </w:r>
    </w:p>
    <w:p>
      <w:pPr>
        <w:spacing w:before="75" w:after="0"/>
      </w:pPr>
      <w:r>
        <w:rPr/>
        <w:t xml:space="preserve">第二节 市场份额与集中度指标</w:t>
      </w:r>
    </w:p>
    <w:p>
      <w:pPr>
        <w:spacing w:before="75" w:after="0"/>
      </w:pPr>
      <w:r>
        <w:rPr/>
        <w:t xml:space="preserve">一、cr5与cr10市场份额测算(按营收口径)</w:t>
      </w:r>
    </w:p>
    <w:p>
      <w:pPr>
        <w:spacing w:before="75" w:after="0"/>
      </w:pPr>
      <w:r>
        <w:rPr/>
        <w:t xml:space="preserve">二、不同细分领域(pms、oms、rms)竞争强度对比</w:t>
      </w:r>
    </w:p>
    <w:p>
      <w:pPr>
        <w:spacing w:before="75" w:after="0"/>
      </w:pPr>
      <w:r>
        <w:rPr/>
        <w:t xml:space="preserve">三、新进入者壁垒：技术积累、客户案例、牌照关联性</w:t>
      </w:r>
    </w:p>
    <w:p>
      <w:pPr>
        <w:spacing w:before="75" w:after="0"/>
      </w:pPr>
      <w:r>
        <w:rPr/>
        <w:t xml:space="preserve">第三节 合作生态与渠道策略</w:t>
      </w:r>
    </w:p>
    <w:p>
      <w:pPr>
        <w:spacing w:before="75" w:after="0"/>
      </w:pPr>
      <w:r>
        <w:rPr/>
        <w:t xml:space="preserve">一、与券商、托管银行共建联合解决方案</w:t>
      </w:r>
    </w:p>
    <w:p>
      <w:pPr>
        <w:spacing w:before="75" w:after="0"/>
      </w:pPr>
      <w:r>
        <w:rPr/>
        <w:t xml:space="preserve">二、通过私募孵化器提供免费试用换取长期合约</w:t>
      </w:r>
    </w:p>
    <w:p>
      <w:pPr>
        <w:spacing w:before="75" w:after="0"/>
      </w:pPr>
      <w:r>
        <w:rPr/>
        <w:t xml:space="preserve">三、与高校合作培养量化it复合型人才</w:t>
      </w:r>
    </w:p>
    <w:p>
      <w:pPr>
        <w:spacing w:before="75" w:after="0"/>
      </w:pPr>
      <w:r>
        <w:rPr>
          <w:b w:val="1"/>
          <w:bCs w:val="1"/>
        </w:rPr>
        <w:t xml:space="preserve">第七章 2023-2025年商业模式与盈利模式演变</w:t>
      </w:r>
    </w:p>
    <w:p>
      <w:pPr>
        <w:spacing w:before="75" w:after="0"/>
      </w:pPr>
      <w:r>
        <w:rPr/>
        <w:t xml:space="preserve">第一节 主流收费模式</w:t>
      </w:r>
    </w:p>
    <w:p>
      <w:pPr>
        <w:spacing w:before="75" w:after="0"/>
      </w:pPr>
      <w:r>
        <w:rPr/>
        <w:t xml:space="preserve">一、一次性授权费+年度维护费(传统模式)</w:t>
      </w:r>
    </w:p>
    <w:p>
      <w:pPr>
        <w:spacing w:before="75" w:after="0"/>
      </w:pPr>
      <w:r>
        <w:rPr/>
        <w:t xml:space="preserve">二、按aum比例收取saas订阅费(新兴趋势)</w:t>
      </w:r>
    </w:p>
    <w:p>
      <w:pPr>
        <w:spacing w:before="75" w:after="0"/>
      </w:pPr>
      <w:r>
        <w:rPr/>
        <w:t xml:space="preserve">三、按交易量或策略调用次数计费(api经济模式)</w:t>
      </w:r>
    </w:p>
    <w:p>
      <w:pPr>
        <w:spacing w:before="75" w:after="0"/>
      </w:pPr>
      <w:r>
        <w:rPr/>
        <w:t xml:space="preserve">第二节 服务延伸与增值空间</w:t>
      </w:r>
    </w:p>
    <w:p>
      <w:pPr>
        <w:spacing w:before="75" w:after="0"/>
      </w:pPr>
      <w:r>
        <w:rPr/>
        <w:t xml:space="preserve">一、策略外包服务</w:t>
      </w:r>
    </w:p>
    <w:p>
      <w:pPr>
        <w:spacing w:before="75" w:after="0"/>
      </w:pPr>
      <w:r>
        <w:rPr/>
        <w:t xml:space="preserve">二、托管式运维</w:t>
      </w:r>
    </w:p>
    <w:p>
      <w:pPr>
        <w:spacing w:before="75" w:after="0"/>
      </w:pPr>
      <w:r>
        <w:rPr/>
        <w:t xml:space="preserve">三、数据增值服务</w:t>
      </w:r>
    </w:p>
    <w:p>
      <w:pPr>
        <w:spacing w:before="75" w:after="0"/>
      </w:pPr>
      <w:r>
        <w:rPr/>
        <w:t xml:space="preserve">第三节 盈利能力对比</w:t>
      </w:r>
    </w:p>
    <w:p>
      <w:pPr>
        <w:spacing w:before="75" w:after="0"/>
      </w:pPr>
      <w:r>
        <w:rPr/>
        <w:t xml:space="preserve">一、国际厂商毛利率 vs 本土企业净利率水平</w:t>
      </w:r>
    </w:p>
    <w:p>
      <w:pPr>
        <w:spacing w:before="75" w:after="0"/>
      </w:pPr>
      <w:r>
        <w:rPr/>
        <w:t xml:space="preserve">二、定制项目与标准化产品利润率差异</w:t>
      </w:r>
    </w:p>
    <w:p>
      <w:pPr>
        <w:spacing w:before="75" w:after="0"/>
      </w:pPr>
      <w:r>
        <w:rPr/>
        <w:t xml:space="preserve">三、云化转型对长期ltv(客户生命周期价值)提升效应</w:t>
      </w:r>
    </w:p>
    <w:p>
      <w:pPr>
        <w:spacing w:before="75" w:after="0"/>
      </w:pPr>
      <w:r>
        <w:rPr>
          <w:b w:val="1"/>
          <w:bCs w:val="1"/>
        </w:rPr>
        <w:t xml:space="preserve">第八章 中国对冲基金软件行业领先企业分析(3-10家)</w:t>
      </w:r>
    </w:p>
    <w:p>
      <w:pPr>
        <w:spacing w:before="75" w:after="0"/>
      </w:pPr>
      <w:r>
        <w:rPr/>
        <w:t xml:space="preserve">第一节 a公司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第二节 b公司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第三节 c公司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b w:val="1"/>
          <w:bCs w:val="1"/>
        </w:rPr>
        <w:t xml:space="preserve">第九章 2023-2025年产业链上下游协同发展分析</w:t>
      </w:r>
    </w:p>
    <w:p>
      <w:pPr>
        <w:spacing w:before="75" w:after="0"/>
      </w:pPr>
      <w:r>
        <w:rPr/>
        <w:t xml:space="preserve">第一节 上游：基础软硬件供应商</w:t>
      </w:r>
    </w:p>
    <w:p>
      <w:pPr>
        <w:spacing w:before="75" w:after="0"/>
      </w:pPr>
      <w:r>
        <w:rPr/>
        <w:t xml:space="preserve">一、国产芯片(鲲鹏、昇腾)在低延迟场景适配进展</w:t>
      </w:r>
    </w:p>
    <w:p>
      <w:pPr>
        <w:spacing w:before="75" w:after="0"/>
      </w:pPr>
      <w:r>
        <w:rPr/>
        <w:t xml:space="preserve">二、金融级数据库(oceanbase、tidb)性能测试结果</w:t>
      </w:r>
    </w:p>
    <w:p>
      <w:pPr>
        <w:spacing w:before="75" w:after="0"/>
      </w:pPr>
      <w:r>
        <w:rPr/>
        <w:t xml:space="preserve">三、行情数据供应商(万得、聚源)接口标准化程度</w:t>
      </w:r>
    </w:p>
    <w:p>
      <w:pPr>
        <w:spacing w:before="75" w:after="0"/>
      </w:pPr>
      <w:r>
        <w:rPr/>
        <w:t xml:space="preserve">第二节 中游：软件开发商与系统集成商</w:t>
      </w:r>
    </w:p>
    <w:p>
      <w:pPr>
        <w:spacing w:before="75" w:after="0"/>
      </w:pPr>
      <w:r>
        <w:rPr/>
        <w:t xml:space="preserve">一、核心引擎自研 vs 开源框架二次开发成本对比</w:t>
      </w:r>
    </w:p>
    <w:p>
      <w:pPr>
        <w:spacing w:before="75" w:after="0"/>
      </w:pPr>
      <w:r>
        <w:rPr/>
        <w:t xml:space="preserve">二、devops流程在金融软件交付中的普及率</w:t>
      </w:r>
    </w:p>
    <w:p>
      <w:pPr>
        <w:spacing w:before="75" w:after="0"/>
      </w:pPr>
      <w:r>
        <w:rPr/>
        <w:t xml:space="preserve">三、安全等保三级认证获取难度与周期</w:t>
      </w:r>
    </w:p>
    <w:p>
      <w:pPr>
        <w:spacing w:before="75" w:after="0"/>
      </w:pPr>
      <w:r>
        <w:rPr/>
        <w:t xml:space="preserve">第三节 下游：私募基金、券商、托管行</w:t>
      </w:r>
    </w:p>
    <w:p>
      <w:pPr>
        <w:spacing w:before="75" w:after="0"/>
      </w:pPr>
      <w:r>
        <w:rPr/>
        <w:t xml:space="preserve">一、券商pb系统与对冲基金软件对接标准统一进程</w:t>
      </w:r>
    </w:p>
    <w:p>
      <w:pPr>
        <w:spacing w:before="75" w:after="0"/>
      </w:pPr>
      <w:r>
        <w:rPr/>
        <w:t xml:space="preserve">二、托管行对估值与风控数据格式要求变化</w:t>
      </w:r>
    </w:p>
    <w:p>
      <w:pPr>
        <w:spacing w:before="75" w:after="0"/>
      </w:pPr>
      <w:r>
        <w:rPr/>
        <w:t xml:space="preserve">三、私募fof对底层系统透明度的新诉求</w:t>
      </w:r>
    </w:p>
    <w:p>
      <w:pPr>
        <w:spacing w:before="75" w:after="0"/>
      </w:pPr>
      <w:r>
        <w:rPr>
          <w:b w:val="1"/>
          <w:bCs w:val="1"/>
        </w:rPr>
        <w:t xml:space="preserve">第十章 2023-2025年区域市场发展格局</w:t>
      </w:r>
    </w:p>
    <w:p>
      <w:pPr>
        <w:spacing w:before="75" w:after="0"/>
      </w:pPr>
      <w:r>
        <w:rPr/>
        <w:t xml:space="preserve">第一节 华东地区：上海、杭州为核心</w:t>
      </w:r>
    </w:p>
    <w:p>
      <w:pPr>
        <w:spacing w:before="75" w:after="0"/>
      </w:pPr>
      <w:r>
        <w:rPr/>
        <w:t xml:space="preserve">一、上海私募聚集效应带动软件采购集中度</w:t>
      </w:r>
    </w:p>
    <w:p>
      <w:pPr>
        <w:spacing w:before="75" w:after="0"/>
      </w:pPr>
      <w:r>
        <w:rPr/>
        <w:t xml:space="preserve">二、杭州依托阿里云生态孵化量化技术企业</w:t>
      </w:r>
    </w:p>
    <w:p>
      <w:pPr>
        <w:spacing w:before="75" w:after="0"/>
      </w:pPr>
      <w:r>
        <w:rPr/>
        <w:t xml:space="preserve">第二节 华南地区：深圳、广州引领</w:t>
      </w:r>
    </w:p>
    <w:p>
      <w:pPr>
        <w:spacing w:before="75" w:after="0"/>
      </w:pPr>
      <w:r>
        <w:rPr/>
        <w:t xml:space="preserve">一、深圳高频交易私募密集催生低延迟需求</w:t>
      </w:r>
    </w:p>
    <w:p>
      <w:pPr>
        <w:spacing w:before="75" w:after="0"/>
      </w:pPr>
      <w:r>
        <w:rPr/>
        <w:t xml:space="preserve">二、广州区域性私募偏好性价比解决方案</w:t>
      </w:r>
    </w:p>
    <w:p>
      <w:pPr>
        <w:spacing w:before="75" w:after="0"/>
      </w:pPr>
      <w:r>
        <w:rPr/>
        <w:t xml:space="preserve">第三节 华北与中西部：北京为枢纽，其他区域起步阶段</w:t>
      </w:r>
    </w:p>
    <w:p>
      <w:pPr>
        <w:spacing w:before="75" w:after="0"/>
      </w:pPr>
      <w:r>
        <w:rPr/>
        <w:t xml:space="preserve">一、北京头部私募自研能力强，外采比例较低</w:t>
      </w:r>
    </w:p>
    <w:p>
      <w:pPr>
        <w:spacing w:before="75" w:after="0"/>
      </w:pPr>
      <w:r>
        <w:rPr/>
        <w:t xml:space="preserve">二、成都、武汉等地政府扶持量化产业园初见成效</w:t>
      </w:r>
    </w:p>
    <w:p>
      <w:pPr>
        <w:spacing w:before="75" w:after="0"/>
      </w:pPr>
      <w:r>
        <w:rPr>
          <w:b w:val="1"/>
          <w:bCs w:val="1"/>
        </w:rPr>
        <w:t xml:space="preserve">第十一章 2023-2025年政策法规与合规监管影响</w:t>
      </w:r>
    </w:p>
    <w:p>
      <w:pPr>
        <w:spacing w:before="75" w:after="0"/>
      </w:pPr>
      <w:r>
        <w:rPr/>
        <w:t xml:space="preserve">第一节 现行监管要求梳理</w:t>
      </w:r>
    </w:p>
    <w:p>
      <w:pPr>
        <w:spacing w:before="75" w:after="0"/>
      </w:pPr>
      <w:r>
        <w:rPr/>
        <w:t xml:space="preserve">一、中基协《私募投资基金信息报送指引》对系统字段要求</w:t>
      </w:r>
    </w:p>
    <w:p>
      <w:pPr>
        <w:spacing w:before="75" w:after="0"/>
      </w:pPr>
      <w:r>
        <w:rPr/>
        <w:t xml:space="preserve">二、网络安全等级保护2.0对交易系统强制认证</w:t>
      </w:r>
    </w:p>
    <w:p>
      <w:pPr>
        <w:spacing w:before="75" w:after="0"/>
      </w:pPr>
      <w:r>
        <w:rPr/>
        <w:t xml:space="preserve">三、金融数据出境安全评估适用情形</w:t>
      </w:r>
    </w:p>
    <w:p>
      <w:pPr>
        <w:spacing w:before="75" w:after="0"/>
      </w:pPr>
      <w:r>
        <w:rPr/>
        <w:t xml:space="preserve">第二节 信创政策推进节奏</w:t>
      </w:r>
    </w:p>
    <w:p>
      <w:pPr>
        <w:spacing w:before="75" w:after="0"/>
      </w:pPr>
      <w:r>
        <w:rPr/>
        <w:t xml:space="preserve">一、金融行业信创三期试点对软件替换时间表</w:t>
      </w:r>
    </w:p>
    <w:p>
      <w:pPr>
        <w:spacing w:before="75" w:after="0"/>
      </w:pPr>
      <w:r>
        <w:rPr/>
        <w:t xml:space="preserve">二、国产操作系统、中间件、数据库兼容清单发布情况</w:t>
      </w:r>
    </w:p>
    <w:p>
      <w:pPr>
        <w:spacing w:before="75" w:after="0"/>
      </w:pPr>
      <w:r>
        <w:rPr/>
        <w:t xml:space="preserve">三、对冲基金软件信创适配成本测算</w:t>
      </w:r>
    </w:p>
    <w:p>
      <w:pPr>
        <w:spacing w:before="75" w:after="0"/>
      </w:pPr>
      <w:r>
        <w:rPr/>
        <w:t xml:space="preserve">第三节 2026-2031年监管趋势预判</w:t>
      </w:r>
    </w:p>
    <w:p>
      <w:pPr>
        <w:spacing w:before="75" w:after="0"/>
      </w:pPr>
      <w:r>
        <w:rPr/>
        <w:t xml:space="preserve">一、可能出台《私募基金信息系统建设指引》</w:t>
      </w:r>
    </w:p>
    <w:p>
      <w:pPr>
        <w:spacing w:before="75" w:after="0"/>
      </w:pPr>
      <w:r>
        <w:rPr/>
        <w:t xml:space="preserve">二、ai模型可解释性纳入合规审查范围</w:t>
      </w:r>
    </w:p>
    <w:p>
      <w:pPr>
        <w:spacing w:before="75" w:after="0"/>
      </w:pPr>
      <w:r>
        <w:rPr/>
        <w:t xml:space="preserve">三、跨境策略交易数据本地化存储强制要求</w:t>
      </w:r>
    </w:p>
    <w:p>
      <w:pPr>
        <w:spacing w:before="75" w:after="0"/>
      </w:pPr>
      <w:r>
        <w:rPr>
          <w:b w:val="1"/>
          <w:bCs w:val="1"/>
        </w:rPr>
        <w:t xml:space="preserve">第十二章 2023-2025年技术发展趋势与创新方向</w:t>
      </w:r>
    </w:p>
    <w:p>
      <w:pPr>
        <w:spacing w:before="75" w:after="0"/>
      </w:pPr>
      <w:r>
        <w:rPr/>
        <w:t xml:space="preserve">第一节 人工智能深度融入</w:t>
      </w:r>
    </w:p>
    <w:p>
      <w:pPr>
        <w:spacing w:before="75" w:after="0"/>
      </w:pPr>
      <w:r>
        <w:rPr/>
        <w:t xml:space="preserve">一、大模型在宏观因子解读与新闻情绪分析中的应用</w:t>
      </w:r>
    </w:p>
    <w:p>
      <w:pPr>
        <w:spacing w:before="75" w:after="0"/>
      </w:pPr>
      <w:r>
        <w:rPr/>
        <w:t xml:space="preserve">二、强化学习用于动态仓位调整实验进展</w:t>
      </w:r>
    </w:p>
    <w:p>
      <w:pPr>
        <w:spacing w:before="75" w:after="0"/>
      </w:pPr>
      <w:r>
        <w:rPr/>
        <w:t xml:space="preserve">三、ai生成策略的回测过拟合风险防控机制</w:t>
      </w:r>
    </w:p>
    <w:p>
      <w:pPr>
        <w:spacing w:before="75" w:after="0"/>
      </w:pPr>
      <w:r>
        <w:rPr/>
        <w:t xml:space="preserve">第二节 云计算与边缘计算融合</w:t>
      </w:r>
    </w:p>
    <w:p>
      <w:pPr>
        <w:spacing w:before="75" w:after="0"/>
      </w:pPr>
      <w:r>
        <w:rPr/>
        <w:t xml:space="preserve">一、混合云架构保障核心交易本地化、非核心上云</w:t>
      </w:r>
    </w:p>
    <w:p>
      <w:pPr>
        <w:spacing w:before="75" w:after="0"/>
      </w:pPr>
      <w:r>
        <w:rPr/>
        <w:t xml:space="preserve">二、边缘节点部署用于交易所机房旁路计算</w:t>
      </w:r>
    </w:p>
    <w:p>
      <w:pPr>
        <w:spacing w:before="75" w:after="0"/>
      </w:pPr>
      <w:r>
        <w:rPr/>
        <w:t xml:space="preserve">第三节 安全与韧性建设</w:t>
      </w:r>
    </w:p>
    <w:p>
      <w:pPr>
        <w:spacing w:before="75" w:after="0"/>
      </w:pPr>
      <w:r>
        <w:rPr/>
        <w:t xml:space="preserve">一、零信任架构在投研网络中的试点</w:t>
      </w:r>
    </w:p>
    <w:p>
      <w:pPr>
        <w:spacing w:before="75" w:after="0"/>
      </w:pPr>
      <w:r>
        <w:rPr/>
        <w:t xml:space="preserve">二、量子加密在密钥管理中的前瞻性研究</w:t>
      </w:r>
    </w:p>
    <w:p>
      <w:pPr>
        <w:spacing w:before="75" w:after="0"/>
      </w:pPr>
      <w:r>
        <w:rPr/>
        <w:t xml:space="preserve">三、多地多活容灾方案成为头部私募标配</w:t>
      </w:r>
    </w:p>
    <w:p>
      <w:pPr>
        <w:spacing w:before="75" w:after="0"/>
      </w:pPr>
      <w:r>
        <w:rPr>
          <w:b w:val="1"/>
          <w:bCs w:val="1"/>
        </w:rPr>
        <w:t xml:space="preserve">第十三章 2023-2025年投资逻辑与资本流向分析</w:t>
      </w:r>
    </w:p>
    <w:p>
      <w:pPr>
        <w:spacing w:before="75" w:after="0"/>
      </w:pPr>
      <w:r>
        <w:rPr/>
        <w:t xml:space="preserve">第一节 一级市场投融资回顾</w:t>
      </w:r>
    </w:p>
    <w:p>
      <w:pPr>
        <w:spacing w:before="75" w:after="0"/>
      </w:pPr>
      <w:r>
        <w:rPr/>
        <w:t xml:space="preserve">一、2023-2025年对冲基金软件领域融资事件统计</w:t>
      </w:r>
    </w:p>
    <w:p>
      <w:pPr>
        <w:spacing w:before="75" w:after="0"/>
      </w:pPr>
      <w:r>
        <w:rPr/>
        <w:t xml:space="preserve">二、投资方背景：vc、产业资本、券商直投占比</w:t>
      </w:r>
    </w:p>
    <w:p>
      <w:pPr>
        <w:spacing w:before="75" w:after="0"/>
      </w:pPr>
      <w:r>
        <w:rPr/>
        <w:t xml:space="preserve">三、估值逻辑从“客户数”转向“arr(年度经常性收入)”</w:t>
      </w:r>
    </w:p>
    <w:p>
      <w:pPr>
        <w:spacing w:before="75" w:after="0"/>
      </w:pPr>
      <w:r>
        <w:rPr/>
        <w:t xml:space="preserve">第二节 二级市场表现关联</w:t>
      </w:r>
    </w:p>
    <w:p>
      <w:pPr>
        <w:spacing w:before="75" w:after="0"/>
      </w:pPr>
      <w:r>
        <w:rPr/>
        <w:t xml:space="preserve">一、恒生电子、顶点软件等股价与私募备案数量相关性</w:t>
      </w:r>
    </w:p>
    <w:p>
      <w:pPr>
        <w:spacing w:before="75" w:after="0"/>
      </w:pPr>
      <w:r>
        <w:rPr/>
        <w:t xml:space="preserve">二、信创主题对金融科技板块估值溢价影响</w:t>
      </w:r>
    </w:p>
    <w:p>
      <w:pPr>
        <w:spacing w:before="75" w:after="0"/>
      </w:pPr>
      <w:r>
        <w:rPr/>
        <w:t xml:space="preserve">第三节 2026-2031年投资热点预测</w:t>
      </w:r>
    </w:p>
    <w:p>
      <w:pPr>
        <w:spacing w:before="75" w:after="0"/>
      </w:pPr>
      <w:r>
        <w:rPr/>
        <w:t xml:space="preserve">一、具备信创全栈适配能力的平台型企业</w:t>
      </w:r>
    </w:p>
    <w:p>
      <w:pPr>
        <w:spacing w:before="75" w:after="0"/>
      </w:pPr>
      <w:r>
        <w:rPr/>
        <w:t xml:space="preserve">二、ai-native新型投研操作系统</w:t>
      </w:r>
    </w:p>
    <w:p>
      <w:pPr>
        <w:spacing w:before="75" w:after="0"/>
      </w:pPr>
      <w:r>
        <w:rPr/>
        <w:t xml:space="preserve">三、跨境多市场监管合规引擎</w:t>
      </w:r>
    </w:p>
    <w:p>
      <w:pPr>
        <w:spacing w:before="75" w:after="0"/>
      </w:pPr>
      <w:r>
        <w:rPr>
          <w:b w:val="1"/>
          <w:bCs w:val="1"/>
        </w:rPr>
        <w:t xml:space="preserve">第十四章 风险因素识别与应对策略</w:t>
      </w:r>
    </w:p>
    <w:p>
      <w:pPr>
        <w:spacing w:before="75" w:after="0"/>
      </w:pPr>
      <w:r>
        <w:rPr/>
        <w:t xml:space="preserve">第一节 技术风险</w:t>
      </w:r>
    </w:p>
    <w:p>
      <w:pPr>
        <w:spacing w:before="75" w:after="0"/>
      </w:pPr>
      <w:r>
        <w:rPr/>
        <w:t xml:space="preserve">一、系统故障导致交易中断的赔偿责任界定</w:t>
      </w:r>
    </w:p>
    <w:p>
      <w:pPr>
        <w:spacing w:before="75" w:after="0"/>
      </w:pPr>
      <w:r>
        <w:rPr/>
        <w:t xml:space="preserve">二、开源组件漏洞引发的安全事件案例</w:t>
      </w:r>
    </w:p>
    <w:p>
      <w:pPr>
        <w:spacing w:before="75" w:after="0"/>
      </w:pPr>
      <w:r>
        <w:rPr/>
        <w:t xml:space="preserve">第二节 市场风险</w:t>
      </w:r>
    </w:p>
    <w:p>
      <w:pPr>
        <w:spacing w:before="75" w:after="0"/>
      </w:pPr>
      <w:r>
        <w:rPr/>
        <w:t xml:space="preserve">一、私募行业清退潮对软件续费率冲击</w:t>
      </w:r>
    </w:p>
    <w:p>
      <w:pPr>
        <w:spacing w:before="75" w:after="0"/>
      </w:pPr>
      <w:r>
        <w:rPr/>
        <w:t xml:space="preserve">二、国际厂商降价挤压本土企业利润空间</w:t>
      </w:r>
    </w:p>
    <w:p>
      <w:pPr>
        <w:spacing w:before="75" w:after="0"/>
      </w:pPr>
      <w:r>
        <w:rPr/>
        <w:t xml:space="preserve">第三节 政策与合规风险</w:t>
      </w:r>
    </w:p>
    <w:p>
      <w:pPr>
        <w:spacing w:before="75" w:after="0"/>
      </w:pPr>
      <w:r>
        <w:rPr/>
        <w:t xml:space="preserve">一、信创替换进度不及预期导致项目延期</w:t>
      </w:r>
    </w:p>
    <w:p>
      <w:pPr>
        <w:spacing w:before="75" w:after="0"/>
      </w:pPr>
      <w:r>
        <w:rPr/>
        <w:t xml:space="preserve">二、数据隐私新规限制用户行为分析深度</w:t>
      </w:r>
    </w:p>
    <w:p>
      <w:pPr>
        <w:spacing w:before="75" w:after="0"/>
      </w:pPr>
      <w:r>
        <w:rPr>
          <w:b w:val="1"/>
          <w:bCs w:val="1"/>
        </w:rPr>
        <w:t xml:space="preserve">第十五章 2026-2031年市场预测与情景分析</w:t>
      </w:r>
    </w:p>
    <w:p>
      <w:pPr>
        <w:spacing w:before="75" w:after="0"/>
      </w:pPr>
      <w:r>
        <w:rPr/>
        <w:t xml:space="preserve">第一节 基准情景预测</w:t>
      </w:r>
    </w:p>
    <w:p>
      <w:pPr>
        <w:spacing w:before="75" w:after="0"/>
      </w:pPr>
      <w:r>
        <w:rPr/>
        <w:t xml:space="preserve">一、市场规模预测</w:t>
      </w:r>
    </w:p>
    <w:p>
      <w:pPr>
        <w:spacing w:before="75" w:after="0"/>
      </w:pPr>
      <w:r>
        <w:rPr/>
        <w:t xml:space="preserve">二、saas模式占比</w:t>
      </w:r>
    </w:p>
    <w:p>
      <w:pPr>
        <w:spacing w:before="75" w:after="0"/>
      </w:pPr>
      <w:r>
        <w:rPr/>
        <w:t xml:space="preserve">三、百亿私募100%部署专业级系统</w:t>
      </w:r>
    </w:p>
    <w:p>
      <w:pPr>
        <w:spacing w:before="75" w:after="0"/>
      </w:pPr>
      <w:r>
        <w:rPr/>
        <w:t xml:space="preserve">第二节 乐观情景(政策强力支持+技术突破)</w:t>
      </w:r>
    </w:p>
    <w:p>
      <w:pPr>
        <w:spacing w:before="75" w:after="0"/>
      </w:pPr>
      <w:r>
        <w:rPr/>
        <w:t xml:space="preserve">一、国家设立量化金融基础设施专项基金</w:t>
      </w:r>
    </w:p>
    <w:p>
      <w:pPr>
        <w:spacing w:before="75" w:after="0"/>
      </w:pPr>
      <w:r>
        <w:rPr/>
        <w:t xml:space="preserve">二、国产低延迟芯片性能追平xilinx</w:t>
      </w:r>
    </w:p>
    <w:p>
      <w:pPr>
        <w:spacing w:before="75" w:after="0"/>
      </w:pPr>
      <w:r>
        <w:rPr/>
        <w:t xml:space="preserve">三、ai策略监管沙盒允许实盘测试</w:t>
      </w:r>
    </w:p>
    <w:p>
      <w:pPr>
        <w:spacing w:before="75" w:after="0"/>
      </w:pPr>
      <w:r>
        <w:rPr/>
        <w:t xml:space="preserve">第三节 悲观情景(经济下行+监管收缩)</w:t>
      </w:r>
    </w:p>
    <w:p>
      <w:pPr>
        <w:spacing w:before="75" w:after="0"/>
      </w:pPr>
      <w:r>
        <w:rPr/>
        <w:t xml:space="preserve">一、私募管理规模萎缩30%以上</w:t>
      </w:r>
    </w:p>
    <w:p>
      <w:pPr>
        <w:spacing w:before="75" w:after="0"/>
      </w:pPr>
      <w:r>
        <w:rPr/>
        <w:t xml:space="preserve">二、信创强制替换推迟至2030年后</w:t>
      </w:r>
    </w:p>
    <w:p>
      <w:pPr>
        <w:spacing w:before="75" w:after="0"/>
      </w:pPr>
      <w:r>
        <w:rPr/>
        <w:t xml:space="preserve">三、外资厂商退出中国市场</w:t>
      </w:r>
    </w:p>
    <w:p>
      <w:pPr>
        <w:spacing w:before="75" w:after="0"/>
      </w:pPr>
      <w:r>
        <w:rPr>
          <w:b w:val="1"/>
          <w:bCs w:val="1"/>
        </w:rPr>
        <w:t xml:space="preserve">第十六章 战略建议与投资机会指引</w:t>
      </w:r>
    </w:p>
    <w:p>
      <w:pPr>
        <w:spacing w:before="75" w:after="0"/>
      </w:pPr>
      <w:r>
        <w:rPr/>
        <w:t xml:space="preserve">第一节 对软件企业的建议</w:t>
      </w:r>
    </w:p>
    <w:p>
      <w:pPr>
        <w:spacing w:before="75" w:after="0"/>
      </w:pPr>
      <w:r>
        <w:rPr/>
        <w:t xml:space="preserve">一、聚焦“信创+ai+合规”三位一体能力建设</w:t>
      </w:r>
    </w:p>
    <w:p>
      <w:pPr>
        <w:spacing w:before="75" w:after="0"/>
      </w:pPr>
      <w:r>
        <w:rPr/>
        <w:t xml:space="preserve">二、构建开放api生态吸引策略开发者入驻</w:t>
      </w:r>
    </w:p>
    <w:p>
      <w:pPr>
        <w:spacing w:before="75" w:after="0"/>
      </w:pPr>
      <w:r>
        <w:rPr/>
        <w:t xml:space="preserve">三、针对中小私募推出“轻量付费+增值服务”套餐</w:t>
      </w:r>
    </w:p>
    <w:p>
      <w:pPr>
        <w:spacing w:before="75" w:after="0"/>
      </w:pPr>
      <w:r>
        <w:rPr/>
        <w:t xml:space="preserve">第二节 对私募基金客户的建议</w:t>
      </w:r>
    </w:p>
    <w:p>
      <w:pPr>
        <w:spacing w:before="75" w:after="0"/>
      </w:pPr>
      <w:r>
        <w:rPr/>
        <w:t xml:space="preserve">一、避免过度依赖单一供应商，建立系统冗余</w:t>
      </w:r>
    </w:p>
    <w:p>
      <w:pPr>
        <w:spacing w:before="75" w:after="0"/>
      </w:pPr>
      <w:r>
        <w:rPr/>
        <w:t xml:space="preserve">二、优先选择支持国产化平滑迁移的平台</w:t>
      </w:r>
    </w:p>
    <w:p>
      <w:pPr>
        <w:spacing w:before="75" w:after="0"/>
      </w:pPr>
      <w:r>
        <w:rPr/>
        <w:t xml:space="preserve">三、将软件选型纳入投研团队核心决策流程</w:t>
      </w:r>
    </w:p>
    <w:p>
      <w:pPr>
        <w:spacing w:before="75" w:after="0"/>
      </w:pPr>
      <w:r>
        <w:rPr/>
        <w:t xml:space="preserve">第三节 对投资机构的建议</w:t>
      </w:r>
    </w:p>
    <w:p>
      <w:pPr>
        <w:spacing w:before="75" w:after="0"/>
      </w:pPr>
      <w:r>
        <w:rPr/>
        <w:t xml:space="preserve">一、关注拥有头部私募标杆案例的垂直厂商</w:t>
      </w:r>
    </w:p>
    <w:p>
      <w:pPr>
        <w:spacing w:before="75" w:after="0"/>
      </w:pPr>
      <w:r>
        <w:rPr/>
        <w:t xml:space="preserve">二、警惕纯概念炒作、无真实营收的初创项目</w:t>
      </w:r>
    </w:p>
    <w:p>
      <w:pPr>
        <w:spacing w:before="75" w:after="0"/>
      </w:pPr>
      <w:r>
        <w:rPr/>
        <w:t xml:space="preserve">三、布局跨境合规与esg风控软件新兴赛道</w:t>
      </w:r>
    </w:p>
    <w:p>
      <w:pPr>
        <w:spacing w:before="75" w:after="0"/>
      </w:pPr>
      <w:r>
        <w:rPr>
          <w:b w:val="1"/>
          <w:bCs w:val="1"/>
        </w:rPr>
        <w:t xml:space="preserve">图表目录</w:t>
      </w:r>
    </w:p>
    <w:p>
      <w:pPr>
        <w:spacing w:before="75" w:after="0"/>
      </w:pPr>
      <w:r>
        <w:rPr/>
        <w:t xml:space="preserve">图表：2023-2025年中国对冲基金软件市场规模及增长率</w:t>
      </w:r>
    </w:p>
    <w:p>
      <w:pPr>
        <w:spacing w:before="75" w:after="0"/>
      </w:pPr>
      <w:r>
        <w:rPr/>
        <w:t xml:space="preserve">图表：2023-2025年全球对冲基金软件市场区域分布</w:t>
      </w:r>
    </w:p>
    <w:p>
      <w:pPr>
        <w:spacing w:before="75" w:after="0"/>
      </w:pPr>
      <w:r>
        <w:rPr/>
        <w:t xml:space="preserve">图表：2023-2025年中国私募证券基金管理规模变化</w:t>
      </w:r>
    </w:p>
    <w:p>
      <w:pPr>
        <w:spacing w:before="75" w:after="0"/>
      </w:pPr>
      <w:r>
        <w:rPr/>
        <w:t xml:space="preserve">图表：2023-2025年对冲基金软件按功能模块收入占比</w:t>
      </w:r>
    </w:p>
    <w:p>
      <w:pPr>
        <w:spacing w:before="75" w:after="0"/>
      </w:pPr>
      <w:r>
        <w:rPr/>
        <w:t xml:space="preserve">图表：2023-2025年本地部署与云部署模式占比变化</w:t>
      </w:r>
    </w:p>
    <w:p>
      <w:pPr>
        <w:spacing w:before="75" w:after="0"/>
      </w:pPr>
      <w:r>
        <w:rPr/>
        <w:t xml:space="preserve">图表：2023-2025年百亿私募软件采购预算中位数</w:t>
      </w:r>
    </w:p>
    <w:p>
      <w:pPr>
        <w:spacing w:before="75" w:after="0"/>
      </w:pPr>
      <w:r>
        <w:rPr/>
        <w:t xml:space="preserve">图表：2023-2025年中小型私募saas订阅率</w:t>
      </w:r>
    </w:p>
    <w:p>
      <w:pPr>
        <w:spacing w:before="75" w:after="0"/>
      </w:pPr>
      <w:r>
        <w:rPr/>
        <w:t xml:space="preserve">图表：2023-2025年国际厂商在华营收增速</w:t>
      </w:r>
    </w:p>
    <w:p>
      <w:pPr>
        <w:spacing w:before="75" w:after="0"/>
      </w:pPr>
      <w:r>
        <w:rPr/>
        <w:t xml:space="preserve">图表：2023-2025年恒生电子对冲基金相关业务收入</w:t>
      </w:r>
    </w:p>
    <w:p>
      <w:pPr>
        <w:spacing w:before="75" w:after="0"/>
      </w:pPr>
      <w:r>
        <w:rPr/>
        <w:t xml:space="preserve">图表：2023-2025年赢时胜风险管理系统客户数</w:t>
      </w:r>
    </w:p>
    <w:p>
      <w:pPr>
        <w:spacing w:before="75" w:after="0"/>
      </w:pPr>
      <w:r>
        <w:rPr/>
        <w:t xml:space="preserve">图表：2023-2025年金证科技qtm系统交易峰值tps</w:t>
      </w:r>
    </w:p>
    <w:p>
      <w:pPr>
        <w:spacing w:before="75" w:after="0"/>
      </w:pPr>
      <w:r>
        <w:rPr/>
        <w:t xml:space="preserve">图表：2023-2025年同花顺ifind私募客户增长率</w:t>
      </w:r>
    </w:p>
    <w:p>
      <w:pPr>
        <w:spacing w:before="75" w:after="0"/>
      </w:pPr>
      <w:r>
        <w:rPr/>
        <w:t xml:space="preserve">图表：2023-2025年顶点软件a5系统信创适配项目数</w:t>
      </w:r>
    </w:p>
    <w:p>
      <w:pPr>
        <w:spacing w:before="75" w:after="0"/>
      </w:pPr>
      <w:r>
        <w:rPr/>
        <w:t xml:space="preserve">图表：2023-2025年通联数据ai因子使用机构数</w:t>
      </w:r>
    </w:p>
    <w:p>
      <w:pPr>
        <w:spacing w:before="75" w:after="0"/>
      </w:pPr>
      <w:r>
        <w:rPr/>
        <w:t xml:space="preserve">图表：2023-2025年私募基金软件平均合同金额</w:t>
      </w:r>
    </w:p>
    <w:p>
      <w:pPr>
        <w:spacing w:before="75" w:after="0"/>
      </w:pPr>
      <w:r>
        <w:rPr/>
        <w:t xml:space="preserve">图表：2023-2025年系统实施周期中位数(月)</w:t>
      </w:r>
    </w:p>
    <w:p>
      <w:pPr>
        <w:spacing w:before="75" w:after="0"/>
      </w:pPr>
      <w:r>
        <w:rPr/>
        <w:t xml:space="preserve">图表：2023-2025年客户续约率(分企业规模)</w:t>
      </w:r>
    </w:p>
    <w:p>
      <w:pPr>
        <w:spacing w:before="75" w:after="0"/>
      </w:pPr>
      <w:r>
        <w:rPr/>
        <w:t xml:space="preserve">图表：2023-2025年另类数据采购支出占比</w:t>
      </w:r>
    </w:p>
    <w:p>
      <w:pPr>
        <w:spacing w:before="75" w:after="0"/>
      </w:pPr>
      <w:r>
        <w:rPr/>
        <w:t xml:space="preserve">图表：2023-2025年ai模块在软件功能中渗透率</w:t>
      </w:r>
    </w:p>
    <w:p>
      <w:pPr>
        <w:spacing w:before="75" w:after="0"/>
      </w:pPr>
      <w:r>
        <w:rPr/>
        <w:t xml:space="preserve">图表：2023-2025年信创相关项目招标数量</w:t>
      </w:r>
    </w:p>
    <w:p>
      <w:pPr>
        <w:spacing w:before="75" w:after="0"/>
      </w:pPr>
      <w:r>
        <w:rPr/>
        <w:t xml:space="preserve">图表：2023-2025年华东地区软件采购额占比</w:t>
      </w:r>
    </w:p>
    <w:p>
      <w:pPr>
        <w:spacing w:before="75" w:after="0"/>
      </w:pPr>
      <w:r>
        <w:rPr/>
        <w:t xml:space="preserve">图表：2023-2025年低延迟交易系统延迟指标(微秒)</w:t>
      </w:r>
    </w:p>
    <w:p>
      <w:pPr>
        <w:spacing w:before="75" w:after="0"/>
      </w:pPr>
      <w:r>
        <w:rPr/>
        <w:t xml:space="preserve">图表：2023-2025年私募投诉软件问题类型分布</w:t>
      </w:r>
    </w:p>
    <w:p>
      <w:pPr>
        <w:spacing w:before="75" w:after="0"/>
      </w:pPr>
      <w:r>
        <w:rPr/>
        <w:t xml:space="preserve">图表：2023-2025年一级市场融资总额(对冲基金软件)</w:t>
      </w:r>
    </w:p>
    <w:p>
      <w:pPr>
        <w:spacing w:before="75" w:after="0"/>
      </w:pPr>
      <w:r>
        <w:rPr/>
        <w:t xml:space="preserve">图表：2023-2025年恒生电子毛利率 vs 行业平均</w:t>
      </w:r>
    </w:p>
    <w:p>
      <w:pPr>
        <w:spacing w:before="75" w:after="0"/>
      </w:pPr>
      <w:r>
        <w:rPr/>
        <w:t xml:space="preserve">图表：2026-2031年中国对冲基金软件市场规模预测(基准情景)</w:t>
      </w:r>
    </w:p>
    <w:p>
      <w:pPr>
        <w:spacing w:before="75" w:after="0"/>
      </w:pPr>
      <w:r>
        <w:rPr/>
        <w:t xml:space="preserve">图表：2026-2031年saas模式收入占比预测</w:t>
      </w:r>
    </w:p>
    <w:p>
      <w:pPr>
        <w:spacing w:before="75" w:after="0"/>
      </w:pPr>
      <w:r>
        <w:rPr/>
        <w:t xml:space="preserve">图表：2026-2031年信创替换完成率预测</w:t>
      </w:r>
    </w:p>
    <w:p>
      <w:pPr>
        <w:spacing w:before="75" w:after="0"/>
      </w:pPr>
      <w:r>
        <w:rPr/>
        <w:t xml:space="preserve">图表：2026-2031年ai投研模块采用率预测</w:t>
      </w:r>
    </w:p>
    <w:p>
      <w:pPr>
        <w:spacing w:before="75" w:after="0"/>
      </w:pPr>
      <w:r>
        <w:rPr/>
        <w:t xml:space="preserve">图表：2026-2031年百亿私募系统覆盖率预测</w:t>
      </w:r>
    </w:p>
    <w:p>
      <w:pPr>
        <w:spacing w:before="75" w:after="0"/>
      </w:pPr>
      <w:r>
        <w:rPr/>
        <w:t xml:space="preserve">图表：2026-2031年中小私募arpu值预测</w:t>
      </w:r>
    </w:p>
    <w:p>
      <w:pPr>
        <w:spacing w:before="75" w:after="0"/>
      </w:pPr>
      <w:r>
        <w:rPr/>
        <w:t xml:space="preserve">图表：2026-2031年国际厂商市场份额变化预测</w:t>
      </w:r>
    </w:p>
    <w:p>
      <w:pPr>
        <w:spacing w:before="75" w:after="0"/>
      </w:pPr>
      <w:r>
        <w:rPr/>
        <w:t xml:space="preserve">图表：2026-2031年云原生架构采用率预测</w:t>
      </w:r>
    </w:p>
    <w:p>
      <w:pPr>
        <w:spacing w:before="75" w:after="0"/>
      </w:pPr>
      <w:r>
        <w:rPr/>
        <w:t xml:space="preserve">图表：2026-2031年跨境合规软件需求量预测</w:t>
      </w:r>
    </w:p>
    <w:p>
      <w:pPr>
        <w:spacing w:before="75" w:after="0"/>
      </w:pPr>
      <w:r>
        <w:rPr/>
        <w:t xml:space="preserve">图表：2026-2031年esg风控模块市场规模预测</w:t>
      </w:r>
    </w:p>
    <w:p>
      <w:pPr>
        <w:spacing w:before="75" w:after="0"/>
      </w:pPr>
      <w:r>
        <w:rPr/>
        <w:t xml:space="preserve">图表：2026-2031年低代码策略开发平台用户数预测</w:t>
      </w:r>
    </w:p>
    <w:p>
      <w:pPr>
        <w:spacing w:before="75" w:after="0"/>
      </w:pPr>
      <w:r>
        <w:rPr/>
        <w:t xml:space="preserve">图表：2026-2031年系统平均实施周期缩短幅度预测</w:t>
      </w:r>
    </w:p>
    <w:p>
      <w:pPr>
        <w:spacing w:before="75" w:after="0"/>
      </w:pPr>
      <w:r>
        <w:rPr/>
        <w:t xml:space="preserve">图表：2026-2031年客户ltv(生命周期价值)预测</w:t>
      </w:r>
    </w:p>
    <w:p>
      <w:pPr>
        <w:spacing w:before="75" w:after="0"/>
      </w:pPr>
      <w:r>
        <w:rPr/>
        <w:t xml:space="preserve">图表：2026-2031年行业净利润率中枢预测</w:t>
      </w:r>
    </w:p>
    <w:p>
      <w:pPr>
        <w:spacing w:before="75" w:after="0"/>
      </w:pPr>
      <w:r>
        <w:rPr/>
        <w:t xml:space="preserve">图表：2026-2031年国产数据库适配项目数预测</w:t>
      </w:r>
    </w:p>
    <w:p>
      <w:pPr>
        <w:spacing w:before="75" w:after="0"/>
      </w:pPr>
      <w:r>
        <w:rPr/>
        <w:t xml:space="preserve">图表：2026-2031年私募清退对软件市场影响情景分析</w:t>
      </w:r>
    </w:p>
    <w:p>
      <w:pPr>
        <w:spacing w:before="75" w:after="0"/>
      </w:pPr>
      <w:r>
        <w:rPr/>
        <w:t xml:space="preserve">图表：2026-2031年ai生成策略监管政策出台概率预测</w:t>
      </w:r>
    </w:p>
    <w:p>
      <w:pPr>
        <w:spacing w:before="75" w:after="0"/>
      </w:pPr>
      <w:r>
        <w:rPr/>
        <w:t xml:space="preserve">图表：2026-2031年边缘计算节点部署数量预测</w:t>
      </w:r>
    </w:p>
    <w:p>
      <w:pPr>
        <w:spacing w:before="75" w:after="0"/>
      </w:pPr>
      <w:r>
        <w:rPr/>
        <w:t xml:space="preserve">图表：2026-2031年零信任架构采用率预测</w:t>
      </w:r>
    </w:p>
    <w:p>
      <w:pPr>
        <w:spacing w:before="75" w:after="0"/>
      </w:pPr>
      <w:r>
        <w:rPr/>
        <w:t xml:space="preserve">图表：2026-2031年另类数据支出cagr预测</w:t>
      </w:r>
    </w:p>
    <w:p>
      <w:pPr>
        <w:spacing w:before="75" w:after="0"/>
      </w:pPr>
      <w:r>
        <w:rPr/>
        <w:t xml:space="preserve">图表：2026-2031年api调用量年增长率预测</w:t>
      </w:r>
    </w:p>
    <w:p>
      <w:pPr>
        <w:spacing w:before="75" w:after="0"/>
      </w:pPr>
      <w:r>
        <w:rPr/>
        <w:t xml:space="preserve">图表：2026-2031年策略回测过拟合检测工具需求预测</w:t>
      </w:r>
    </w:p>
    <w:p>
      <w:pPr>
        <w:spacing w:before="75" w:after="0"/>
      </w:pPr>
      <w:r>
        <w:rPr/>
        <w:t xml:space="preserve">图表：2026-2031年金融信创三期覆盖软件品类预测</w:t>
      </w:r>
    </w:p>
    <w:p>
      <w:pPr>
        <w:spacing w:before="75" w:after="0"/>
      </w:pPr>
      <w:r>
        <w:rPr/>
        <w:t xml:space="preserve">图表：2026-2031年私募fof对底层系统透明度要求提升预测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2026-2031年中国对冲基金软件行业深度调研及市场前景预测报告</dc:title>
  <dc:description>2026-2031年中国对冲基金软件行业深度调研及市场前景预测报告</dc:description>
  <dc:subject>2026-2031年中国对冲基金软件行业深度调研及市场前景预测报告</dc:subject>
  <cp:keywords>研究报告</cp:keywords>
  <cp:category>研究报告</cp:category>
  <cp:lastModifiedBy>北京中道泰和信息咨询有限公司</cp:lastModifiedBy>
  <dcterms:created xsi:type="dcterms:W3CDTF">2026-03-30T16:02:22+08:00</dcterms:created>
  <dcterms:modified xsi:type="dcterms:W3CDTF">2026-03-30T16:02:22+08:00</dcterms:modified>
</cp:coreProperties>
</file>

<file path=docProps/custom.xml><?xml version="1.0" encoding="utf-8"?>
<Properties xmlns="http://schemas.openxmlformats.org/officeDocument/2006/custom-properties" xmlns:vt="http://schemas.openxmlformats.org/officeDocument/2006/docPropsVTypes"/>
</file>