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2026-2031年中国互联网＋公募证券投资基金行业商业模式创新与投资机会深度调研报告</w:t>
      </w:r>
    </w:p>
    <w:p>
      <w:pPr>
        <w:spacing w:after="150"/>
      </w:pPr>
      <w:r>
        <w:rPr>
          <w:b w:val="1"/>
          <w:bCs w:val="1"/>
        </w:rPr>
        <w:t xml:space="preserve">报告简介</w:t>
      </w:r>
    </w:p>
    <w:p>
      <w:pPr>
        <w:spacing w:after="150"/>
      </w:pPr>
      <w:r>
        <w:rPr/>
        <w:t xml:space="preserve">互联网+公募证券投资基金行业是互联网技术与传统公募证券投资基金产业深度融合的产物，通过云计算、大数据、人工智能、物联网等新一代信息技术，重构公募基金的产品设计、销售服务、运营管理和投资决策全流程，形成线上化、智能化、平台化的新型金融服务业态。当前，我国互联网+公募基金行业已进入深化发展阶段，产业链结构持续优化，银行等传统渠道仍占据销售主导地位，但基金公司自建电商平台比例显著上升，直销与代销并行的多元化格局基本形成。互联网基金交易规模保持快速增长态势，第三方支付平台、网上银行、基金官网成为最主要的投资渠道。产品层面，货币基金凭借流动性优势占据较大市场份额，股票型基金占比持续提升，混合型基金因风险收益特征相对平衡而受到市场青睐。行业生态方面，互联网技术应用不断深化，推动客户获取、关系维护、成本结构及收入来源的全面革新，同时监管环境趋向引导型，权限适度下放在鼓励金融创新与防范风险之间寻求动态平衡。</w:t>
      </w:r>
    </w:p>
    <w:p>
      <w:pPr>
        <w:spacing w:after="150"/>
      </w:pPr>
      <w:r>
        <w:rPr/>
        <w:t xml:space="preserve">未来，中国互联网+公募证券投资基金行业将迎来政策红利与市场需求共振的黄金发展机遇期，战略价值与商业前景广阔。需求端，居民财富管理需求持续释放、中产阶级扩容及老龄化趋势对养老目标基金的配置需求，将持续驱动市场扩容;投资者结构从机构主导向机构与个人并重转变，年轻客群对线上化、智能化服务的强偏好将倒逼行业加速数字化转型。供给端，具备全栈技术实力、投研能力突出、用户运营经验丰富及合规风控体系健全的综合型平台将主导市场竞争格局，行业集中度有望通过优胜劣汰稳步提升;中小机构可通过深耕细分赛道、提供特色化服务构建差异化护城河。监管层面，金融科技监管框架将持续完善，数据安全、投资者适当性管理及反洗钱要求趋严，倒逼机构加大科技投入与合规建设。投资层面，智能投顾系统、基金电商中台、大数据风控平台、移动端解决方案及养老金第三支柱相关产品将成为资本布局核心赛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网+公募证券投资基金行业研究单位等公布和提供的大量资料。报告对我国互联网+公募证券投资基金行业的供需状况、发展现状、子行业发展变化等进行了分析，重点分析了国内外互联网+公募证券投资基金行业的发展现状、如何面对行业的发展挑战、行业的发展建议、行业竞争力，以及行业的投资分析和趋势预测等等。报告还综合了互联网+公募证券投资基金行业的整体发展动态，对行业在产品方面提供了参考建议和具体解决办法。报告对于互联网+公募证券投资基金产品生产企业、经销商、行业管理部门以及拟进入该行业的投资者具有重要的参考价值，对于研究我国互联网+公募证券投资基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行业演进格局与\"十五五\"发展蓝图</w:t>
      </w:r>
    </w:p>
    <w:p>
      <w:pPr>
        <w:spacing w:before="75" w:after="0"/>
      </w:pPr>
      <w:r>
        <w:rPr/>
        <w:t xml:space="preserve">第一节 互联网+公募基金行业概念界定与研究范畴</w:t>
      </w:r>
    </w:p>
    <w:p>
      <w:pPr>
        <w:spacing w:before="75" w:after="0"/>
      </w:pPr>
      <w:r>
        <w:rPr/>
        <w:t xml:space="preserve">一、\"互联网+\"战略内涵与金融业态重构逻辑</w:t>
      </w:r>
    </w:p>
    <w:p>
      <w:pPr>
        <w:spacing w:before="75" w:after="0"/>
      </w:pPr>
      <w:r>
        <w:rPr/>
        <w:t xml:space="preserve">二、公募证券投资基金行业数字化成熟度评估模型</w:t>
      </w:r>
    </w:p>
    <w:p>
      <w:pPr>
        <w:spacing w:before="75" w:after="0"/>
      </w:pPr>
      <w:r>
        <w:rPr/>
        <w:t xml:space="preserve">三、本报告研究边界与方法论体系说明</w:t>
      </w:r>
    </w:p>
    <w:p>
      <w:pPr>
        <w:spacing w:before="75" w:after="0"/>
      </w:pPr>
      <w:r>
        <w:rPr/>
        <w:t xml:space="preserve">第二节 全球互联网金融发展态势与标杆经验</w:t>
      </w:r>
    </w:p>
    <w:p>
      <w:pPr>
        <w:spacing w:before="75" w:after="0"/>
      </w:pPr>
      <w:r>
        <w:rPr/>
        <w:t xml:space="preserve">一、欧美智能投顾市场演进路径与规模测算</w:t>
      </w:r>
    </w:p>
    <w:p>
      <w:pPr>
        <w:spacing w:before="75" w:after="0"/>
      </w:pPr>
      <w:r>
        <w:rPr/>
        <w:t xml:space="preserve">二、亚太地区数字财富管理渗透率对比分析</w:t>
      </w:r>
    </w:p>
    <w:p>
      <w:pPr>
        <w:spacing w:before="75" w:after="0"/>
      </w:pPr>
      <w:r>
        <w:rPr/>
        <w:t xml:space="preserve">三、跨境资本流动对本土市场的影响机制</w:t>
      </w:r>
    </w:p>
    <w:p>
      <w:pPr>
        <w:spacing w:before="75" w:after="0"/>
      </w:pPr>
      <w:r>
        <w:rPr/>
        <w:t xml:space="preserve">第三节 中国公募基金的互联网化转型历程回顾</w:t>
      </w:r>
    </w:p>
    <w:p>
      <w:pPr>
        <w:spacing w:before="75" w:after="0"/>
      </w:pPr>
      <w:r>
        <w:rPr/>
        <w:t xml:space="preserve">一、2013-2025年行业规模与渠道结构变迁数据</w:t>
      </w:r>
    </w:p>
    <w:p>
      <w:pPr>
        <w:spacing w:before="75" w:after="0"/>
      </w:pPr>
      <w:r>
        <w:rPr/>
        <w:t xml:space="preserve">二、技术迭代驱动的三次变革浪潮特征</w:t>
      </w:r>
    </w:p>
    <w:p>
      <w:pPr>
        <w:spacing w:before="75" w:after="0"/>
      </w:pPr>
      <w:r>
        <w:rPr/>
        <w:t xml:space="preserve">三、当前发展瓶颈与突破方向识别</w:t>
      </w:r>
    </w:p>
    <w:p>
      <w:pPr>
        <w:spacing w:before="75" w:after="0"/>
      </w:pPr>
      <w:r>
        <w:rPr>
          <w:b w:val="1"/>
          <w:bCs w:val="1"/>
        </w:rPr>
        <w:t xml:space="preserve">第二章 宏观经济环境与行业增长动力解析</w:t>
      </w:r>
    </w:p>
    <w:p>
      <w:pPr>
        <w:spacing w:before="75" w:after="0"/>
      </w:pPr>
      <w:r>
        <w:rPr/>
        <w:t xml:space="preserve">第一节 国内经济转型对财富管理需求的影响</w:t>
      </w:r>
    </w:p>
    <w:p>
      <w:pPr>
        <w:spacing w:before="75" w:after="0"/>
      </w:pPr>
      <w:r>
        <w:rPr/>
        <w:t xml:space="preserve">一、居民可支配收入结构与可投资资产预测</w:t>
      </w:r>
    </w:p>
    <w:p>
      <w:pPr>
        <w:spacing w:before="75" w:after="0"/>
      </w:pPr>
      <w:r>
        <w:rPr/>
        <w:t xml:space="preserve">二、人口老龄化趋势下的养老fof产品需求曲线</w:t>
      </w:r>
    </w:p>
    <w:p>
      <w:pPr>
        <w:spacing w:before="75" w:after="0"/>
      </w:pPr>
      <w:r>
        <w:rPr/>
        <w:t xml:space="preserve">三、z世代投资者行为特征与偏好画像</w:t>
      </w:r>
    </w:p>
    <w:p>
      <w:pPr>
        <w:spacing w:before="75" w:after="0"/>
      </w:pPr>
      <w:r>
        <w:rPr/>
        <w:t xml:space="preserve">第二节 关联产业生态系统的协同效应</w:t>
      </w:r>
    </w:p>
    <w:p>
      <w:pPr>
        <w:spacing w:before="75" w:after="0"/>
      </w:pPr>
      <w:r>
        <w:rPr/>
        <w:t xml:space="preserve">一、中国电子商务交易规模及支付体系完善度</w:t>
      </w:r>
    </w:p>
    <w:p>
      <w:pPr>
        <w:spacing w:before="75" w:after="0"/>
      </w:pPr>
      <w:r>
        <w:rPr/>
        <w:t xml:space="preserve">二、大数据产业基础设施与数据要素市场化进程</w:t>
      </w:r>
    </w:p>
    <w:p>
      <w:pPr>
        <w:spacing w:before="75" w:after="0"/>
      </w:pPr>
      <w:r>
        <w:rPr/>
        <w:t xml:space="preserve">三、云计算算力成本下降对行业roi的影响模型</w:t>
      </w:r>
    </w:p>
    <w:p>
      <w:pPr>
        <w:spacing w:before="75" w:after="0"/>
      </w:pPr>
      <w:r>
        <w:rPr/>
        <w:t xml:space="preserve">第三节 技术融合创新的底层支撑体系</w:t>
      </w:r>
    </w:p>
    <w:p>
      <w:pPr>
        <w:spacing w:before="75" w:after="0"/>
      </w:pPr>
      <w:r>
        <w:rPr/>
        <w:t xml:space="preserve">一、生成式ai在投研场景的应用深度评估</w:t>
      </w:r>
    </w:p>
    <w:p>
      <w:pPr>
        <w:spacing w:before="75" w:after="0"/>
      </w:pPr>
      <w:r>
        <w:rPr/>
        <w:t xml:space="preserve">二、区块链技术在份额登记与清结算中的渗透率</w:t>
      </w:r>
    </w:p>
    <w:p>
      <w:pPr>
        <w:spacing w:before="75" w:after="0"/>
      </w:pPr>
      <w:r>
        <w:rPr/>
        <w:t xml:space="preserve">三、5g/6g通信技术对移动端交易体验的提升系数</w:t>
      </w:r>
    </w:p>
    <w:p>
      <w:pPr>
        <w:spacing w:before="75" w:after="0"/>
      </w:pPr>
      <w:r>
        <w:rPr>
          <w:b w:val="1"/>
          <w:bCs w:val="1"/>
        </w:rPr>
        <w:t xml:space="preserve">第三章 监管科技框架与合规成本优化路径</w:t>
      </w:r>
    </w:p>
    <w:p>
      <w:pPr>
        <w:spacing w:before="75" w:after="0"/>
      </w:pPr>
      <w:r>
        <w:rPr/>
        <w:t xml:space="preserve">第一节 \"严监管+盈利考核\"双轮驱动机制解读</w:t>
      </w:r>
    </w:p>
    <w:p>
      <w:pPr>
        <w:spacing w:before="75" w:after="0"/>
      </w:pPr>
      <w:r>
        <w:rPr/>
        <w:t xml:space="preserve">一、公募基金销售新规对收入结构的影响测算</w:t>
      </w:r>
    </w:p>
    <w:p>
      <w:pPr>
        <w:spacing w:before="75" w:after="0"/>
      </w:pPr>
      <w:r>
        <w:rPr/>
        <w:t xml:space="preserve">二、数据安全法与个人信息保护合规成本模型</w:t>
      </w:r>
    </w:p>
    <w:p>
      <w:pPr>
        <w:spacing w:before="75" w:after="0"/>
      </w:pPr>
      <w:r>
        <w:rPr/>
        <w:t xml:space="preserve">三、金融科技创新监管试点工具箱应用指南</w:t>
      </w:r>
    </w:p>
    <w:p>
      <w:pPr>
        <w:spacing w:before="75" w:after="0"/>
      </w:pPr>
      <w:r>
        <w:rPr/>
        <w:t xml:space="preserve">第二节 智能合规系统的建设标准与roi分析</w:t>
      </w:r>
    </w:p>
    <w:p>
      <w:pPr>
        <w:spacing w:before="75" w:after="0"/>
      </w:pPr>
      <w:r>
        <w:rPr/>
        <w:t xml:space="preserve">一、aml反洗钱监测系统的智能化升级路径</w:t>
      </w:r>
    </w:p>
    <w:p>
      <w:pPr>
        <w:spacing w:before="75" w:after="0"/>
      </w:pPr>
      <w:r>
        <w:rPr/>
        <w:t xml:space="preserve">二、投资者适当性管理的动态匹配算法</w:t>
      </w:r>
    </w:p>
    <w:p>
      <w:pPr>
        <w:spacing w:before="75" w:after="0"/>
      </w:pPr>
      <w:r>
        <w:rPr/>
        <w:t xml:space="preserve">三、监管数据报送自动化程度与误差率控制</w:t>
      </w:r>
    </w:p>
    <w:p>
      <w:pPr>
        <w:spacing w:before="75" w:after="0"/>
      </w:pPr>
      <w:r>
        <w:rPr/>
        <w:t xml:space="preserve">第三节 合规科技投入产出效率评估</w:t>
      </w:r>
    </w:p>
    <w:p>
      <w:pPr>
        <w:spacing w:before="75" w:after="0"/>
      </w:pPr>
      <w:r>
        <w:rPr/>
        <w:t xml:space="preserve">一、头部机构合规科技预算占比趋势</w:t>
      </w:r>
    </w:p>
    <w:p>
      <w:pPr>
        <w:spacing w:before="75" w:after="0"/>
      </w:pPr>
      <w:r>
        <w:rPr/>
        <w:t xml:space="preserve">二、中小机构合规外包服务市场规模</w:t>
      </w:r>
    </w:p>
    <w:p>
      <w:pPr>
        <w:spacing w:before="75" w:after="0"/>
      </w:pPr>
      <w:r>
        <w:rPr/>
        <w:t xml:space="preserve">三、合规风险事件损失的回归分析</w:t>
      </w:r>
    </w:p>
    <w:p>
      <w:pPr>
        <w:spacing w:before="75" w:after="0"/>
      </w:pPr>
      <w:r>
        <w:rPr>
          <w:b w:val="1"/>
          <w:bCs w:val="1"/>
        </w:rPr>
        <w:t xml:space="preserve">第四章 渠道通路革命：从流量经营到生态运营</w:t>
      </w:r>
    </w:p>
    <w:p>
      <w:pPr>
        <w:spacing w:before="75" w:after="0"/>
      </w:pPr>
      <w:r>
        <w:rPr/>
        <w:t xml:space="preserve">第一节 线上直销平台的价值重构策略</w:t>
      </w:r>
    </w:p>
    <w:p>
      <w:pPr>
        <w:spacing w:before="75" w:after="0"/>
      </w:pPr>
      <w:r>
        <w:rPr/>
        <w:t xml:space="preserve">一、app用户活跃度与aum转化率关系模型</w:t>
      </w:r>
    </w:p>
    <w:p>
      <w:pPr>
        <w:spacing w:before="75" w:after="0"/>
      </w:pPr>
      <w:r>
        <w:rPr/>
        <w:t xml:space="preserve">二、场景化嵌入银行/券商/第三方平台的效果对比</w:t>
      </w:r>
    </w:p>
    <w:p>
      <w:pPr>
        <w:spacing w:before="75" w:after="0"/>
      </w:pPr>
      <w:r>
        <w:rPr/>
        <w:t xml:space="preserve">三、私域流量池建设的成本结构与roi评估</w:t>
      </w:r>
    </w:p>
    <w:p>
      <w:pPr>
        <w:spacing w:before="75" w:after="0"/>
      </w:pPr>
      <w:r>
        <w:rPr/>
        <w:t xml:space="preserve">第二节 第三方销售平台的竞争格局演变</w:t>
      </w:r>
    </w:p>
    <w:p>
      <w:pPr>
        <w:spacing w:before="75" w:after="0"/>
      </w:pPr>
      <w:r>
        <w:rPr/>
        <w:t xml:space="preserve">一、互联网巨头流量成本与获客效率曲线</w:t>
      </w:r>
    </w:p>
    <w:p>
      <w:pPr>
        <w:spacing w:before="75" w:after="0"/>
      </w:pPr>
      <w:r>
        <w:rPr/>
        <w:t xml:space="preserve">二、垂直财经社区用户ltv/cac比率分析</w:t>
      </w:r>
    </w:p>
    <w:p>
      <w:pPr>
        <w:spacing w:before="75" w:after="0"/>
      </w:pPr>
      <w:r>
        <w:rPr/>
        <w:t xml:space="preserve">三、第三方平台市场份额与费率定价弹性</w:t>
      </w:r>
    </w:p>
    <w:p>
      <w:pPr>
        <w:spacing w:before="75" w:after="0"/>
      </w:pPr>
      <w:r>
        <w:rPr/>
        <w:t xml:space="preserve">第三节 线上线下融合(o2o)模式创新</w:t>
      </w:r>
    </w:p>
    <w:p>
      <w:pPr>
        <w:spacing w:before="75" w:after="0"/>
      </w:pPr>
      <w:r>
        <w:rPr/>
        <w:t xml:space="preserve">一、智能网点投入产出比与功能定位</w:t>
      </w:r>
    </w:p>
    <w:p>
      <w:pPr>
        <w:spacing w:before="75" w:after="0"/>
      </w:pPr>
      <w:r>
        <w:rPr/>
        <w:t xml:space="preserve">二、客户经理数字化工具赋能效果评估</w:t>
      </w:r>
    </w:p>
    <w:p>
      <w:pPr>
        <w:spacing w:before="75" w:after="0"/>
      </w:pPr>
      <w:r>
        <w:rPr/>
        <w:t xml:space="preserve">三、线上预约线下服务转化率优化策略</w:t>
      </w:r>
    </w:p>
    <w:p>
      <w:pPr>
        <w:spacing w:before="75" w:after="0"/>
      </w:pPr>
      <w:r>
        <w:rPr>
          <w:b w:val="1"/>
          <w:bCs w:val="1"/>
        </w:rPr>
        <w:t xml:space="preserve">第五章 客户关系管理的智能化跃迁</w:t>
      </w:r>
    </w:p>
    <w:p>
      <w:pPr>
        <w:spacing w:before="75" w:after="0"/>
      </w:pPr>
      <w:r>
        <w:rPr/>
        <w:t xml:space="preserve">第一节 客户分层与精准画像技术体系</w:t>
      </w:r>
    </w:p>
    <w:p>
      <w:pPr>
        <w:spacing w:before="75" w:after="0"/>
      </w:pPr>
      <w:r>
        <w:rPr/>
        <w:t xml:space="preserve">一、基于行为金融学的客户风险偏好动态识别</w:t>
      </w:r>
    </w:p>
    <w:p>
      <w:pPr>
        <w:spacing w:before="75" w:after="0"/>
      </w:pPr>
      <w:r>
        <w:rPr/>
        <w:t xml:space="preserve">二、高净值客户、长尾客户分群运营策略</w:t>
      </w:r>
    </w:p>
    <w:p>
      <w:pPr>
        <w:spacing w:before="75" w:after="0"/>
      </w:pPr>
      <w:r>
        <w:rPr/>
        <w:t xml:space="preserve">三、客户生命周期价值(clv)预测模型</w:t>
      </w:r>
    </w:p>
    <w:p>
      <w:pPr>
        <w:spacing w:before="75" w:after="0"/>
      </w:pPr>
      <w:r>
        <w:rPr/>
        <w:t xml:space="preserve">第二节 智能投顾服务的商业模式验证</w:t>
      </w:r>
    </w:p>
    <w:p>
      <w:pPr>
        <w:spacing w:before="75" w:after="0"/>
      </w:pPr>
      <w:r>
        <w:rPr/>
        <w:t xml:space="preserve">一、买方投顾模式下的收费标准与客户接受度</w:t>
      </w:r>
    </w:p>
    <w:p>
      <w:pPr>
        <w:spacing w:before="75" w:after="0"/>
      </w:pPr>
      <w:r>
        <w:rPr/>
        <w:t xml:space="preserve">二、人工+ai混合服务模式成本效益分析</w:t>
      </w:r>
    </w:p>
    <w:p>
      <w:pPr>
        <w:spacing w:before="75" w:after="0"/>
      </w:pPr>
      <w:r>
        <w:rPr/>
        <w:t xml:space="preserve">三、智能投顾组合业绩表现与市场基准对比</w:t>
      </w:r>
    </w:p>
    <w:p>
      <w:pPr>
        <w:spacing w:before="75" w:after="0"/>
      </w:pPr>
      <w:r>
        <w:rPr/>
        <w:t xml:space="preserve">第三节 客户体验优化的量化指标体系</w:t>
      </w:r>
    </w:p>
    <w:p>
      <w:pPr>
        <w:spacing w:before="75" w:after="0"/>
      </w:pPr>
      <w:r>
        <w:rPr/>
        <w:t xml:space="preserve">一、客户满意度(csat)与净推荐值(nps)趋势</w:t>
      </w:r>
    </w:p>
    <w:p>
      <w:pPr>
        <w:spacing w:before="75" w:after="0"/>
      </w:pPr>
      <w:r>
        <w:rPr/>
        <w:t xml:space="preserve">二、客户投诉率与服务响应时长相关性</w:t>
      </w:r>
    </w:p>
    <w:p>
      <w:pPr>
        <w:spacing w:before="75" w:after="0"/>
      </w:pPr>
      <w:r>
        <w:rPr/>
        <w:t xml:space="preserve">三、客户教育投入对持有周期的影响系数</w:t>
      </w:r>
    </w:p>
    <w:p>
      <w:pPr>
        <w:spacing w:before="75" w:after="0"/>
      </w:pPr>
      <w:r>
        <w:rPr>
          <w:b w:val="1"/>
          <w:bCs w:val="1"/>
        </w:rPr>
        <w:t xml:space="preserve">第六章 产品创新与资产配置策略演进</w:t>
      </w:r>
    </w:p>
    <w:p>
      <w:pPr>
        <w:spacing w:before="75" w:after="0"/>
      </w:pPr>
      <w:r>
        <w:rPr/>
        <w:t xml:space="preserve">第一节 被动投资产品的互联网化运营</w:t>
      </w:r>
    </w:p>
    <w:p>
      <w:pPr>
        <w:spacing w:before="75" w:after="0"/>
      </w:pPr>
      <w:r>
        <w:rPr/>
        <w:t xml:space="preserve">一、etf产品在线申购赎回效率提升数据</w:t>
      </w:r>
    </w:p>
    <w:p>
      <w:pPr>
        <w:spacing w:before="75" w:after="0"/>
      </w:pPr>
      <w:r>
        <w:rPr/>
        <w:t xml:space="preserve">二、指数增强策略的ai赋能效果评估</w:t>
      </w:r>
    </w:p>
    <w:p>
      <w:pPr>
        <w:spacing w:before="75" w:after="0"/>
      </w:pPr>
      <w:r>
        <w:rPr/>
        <w:t xml:space="preserve">三、主题etf(科技/esg/高股息)规模增速</w:t>
      </w:r>
    </w:p>
    <w:p>
      <w:pPr>
        <w:spacing w:before="75" w:after="0"/>
      </w:pPr>
      <w:r>
        <w:rPr/>
        <w:t xml:space="preserve">第二节 主动管理产品的差异化突围</w:t>
      </w:r>
    </w:p>
    <w:p>
      <w:pPr>
        <w:spacing w:before="75" w:after="0"/>
      </w:pPr>
      <w:r>
        <w:rPr/>
        <w:t xml:space="preserve">一、浮动费率基金产品结构设计创新</w:t>
      </w:r>
    </w:p>
    <w:p>
      <w:pPr>
        <w:spacing w:before="75" w:after="0"/>
      </w:pPr>
      <w:r>
        <w:rPr/>
        <w:t xml:space="preserve">二、赛道型基金经理ip化运营效果</w:t>
      </w:r>
    </w:p>
    <w:p>
      <w:pPr>
        <w:spacing w:before="75" w:after="0"/>
      </w:pPr>
      <w:r>
        <w:rPr/>
        <w:t xml:space="preserve">三、定期支付型\"固收+\"产品需求预测</w:t>
      </w:r>
    </w:p>
    <w:p>
      <w:pPr>
        <w:spacing w:before="75" w:after="0"/>
      </w:pPr>
      <w:r>
        <w:rPr/>
        <w:t xml:space="preserve">第三节 多资产解决方案类产品矩阵</w:t>
      </w:r>
    </w:p>
    <w:p>
      <w:pPr>
        <w:spacing w:before="75" w:after="0"/>
      </w:pPr>
      <w:r>
        <w:rPr/>
        <w:t xml:space="preserve">一、养老目标日期fof的互联网销售占比</w:t>
      </w:r>
    </w:p>
    <w:p>
      <w:pPr>
        <w:spacing w:before="75" w:after="0"/>
      </w:pPr>
      <w:r>
        <w:rPr/>
        <w:t xml:space="preserve">二、基金中基金(fof)费率结构优化空间</w:t>
      </w:r>
    </w:p>
    <w:p>
      <w:pPr>
        <w:spacing w:before="75" w:after="0"/>
      </w:pPr>
      <w:r>
        <w:rPr/>
        <w:t xml:space="preserve">三、跨资产类别组合配置工具的用户渗透率</w:t>
      </w:r>
    </w:p>
    <w:p>
      <w:pPr>
        <w:spacing w:before="75" w:after="0"/>
      </w:pPr>
      <w:r>
        <w:rPr>
          <w:b w:val="1"/>
          <w:bCs w:val="1"/>
        </w:rPr>
        <w:t xml:space="preserve">第七章 收入模式转型：从交易佣金到服务价值</w:t>
      </w:r>
    </w:p>
    <w:p>
      <w:pPr>
        <w:spacing w:before="75" w:after="0"/>
      </w:pPr>
      <w:r>
        <w:rPr/>
        <w:t xml:space="preserve">第一节 传统收入来源的边际效益递减分析</w:t>
      </w:r>
    </w:p>
    <w:p>
      <w:pPr>
        <w:spacing w:before="75" w:after="0"/>
      </w:pPr>
      <w:r>
        <w:rPr/>
        <w:t xml:space="preserve">一、申购赎回费率下降对收入的影响系数</w:t>
      </w:r>
    </w:p>
    <w:p>
      <w:pPr>
        <w:spacing w:before="75" w:after="0"/>
      </w:pPr>
      <w:r>
        <w:rPr/>
        <w:t xml:space="preserve">二、管理费分成模式在渠道端的可持续性</w:t>
      </w:r>
    </w:p>
    <w:p>
      <w:pPr>
        <w:spacing w:before="75" w:after="0"/>
      </w:pPr>
      <w:r>
        <w:rPr/>
        <w:t xml:space="preserve">三、尾随佣金占比变化与监管压力测试</w:t>
      </w:r>
    </w:p>
    <w:p>
      <w:pPr>
        <w:spacing w:before="75" w:after="0"/>
      </w:pPr>
      <w:r>
        <w:rPr/>
        <w:t xml:space="preserve">第二节 创新型收入渠道的拓展路径</w:t>
      </w:r>
    </w:p>
    <w:p>
      <w:pPr>
        <w:spacing w:before="75" w:after="0"/>
      </w:pPr>
      <w:r>
        <w:rPr/>
        <w:t xml:space="preserve">一、投顾服务费收入规模及增长预测</w:t>
      </w:r>
    </w:p>
    <w:p>
      <w:pPr>
        <w:spacing w:before="75" w:after="0"/>
      </w:pPr>
      <w:r>
        <w:rPr/>
        <w:t xml:space="preserve">二、会员订阅制模式的用户付费意愿</w:t>
      </w:r>
    </w:p>
    <w:p>
      <w:pPr>
        <w:spacing w:before="75" w:after="0"/>
      </w:pPr>
      <w:r>
        <w:rPr/>
        <w:t xml:space="preserve">三、数据服务及saas输出收入可行性</w:t>
      </w:r>
    </w:p>
    <w:p>
      <w:pPr>
        <w:spacing w:before="75" w:after="0"/>
      </w:pPr>
      <w:r>
        <w:rPr/>
        <w:t xml:space="preserve">第三节 收入结构多元化的财务影响</w:t>
      </w:r>
    </w:p>
    <w:p>
      <w:pPr>
        <w:spacing w:before="75" w:after="0"/>
      </w:pPr>
      <w:r>
        <w:rPr/>
        <w:t xml:space="preserve">一、不同收入模式对roe的影响模拟</w:t>
      </w:r>
    </w:p>
    <w:p>
      <w:pPr>
        <w:spacing w:before="75" w:after="0"/>
      </w:pPr>
      <w:r>
        <w:rPr/>
        <w:t xml:space="preserve">二、收入波动性降低的实证数据</w:t>
      </w:r>
    </w:p>
    <w:p>
      <w:pPr>
        <w:spacing w:before="75" w:after="0"/>
      </w:pPr>
      <w:r>
        <w:rPr/>
        <w:t xml:space="preserve">三、客户留存率与收入稳定性关系</w:t>
      </w:r>
    </w:p>
    <w:p>
      <w:pPr>
        <w:spacing w:before="75" w:after="0"/>
      </w:pPr>
      <w:r>
        <w:rPr>
          <w:b w:val="1"/>
          <w:bCs w:val="1"/>
        </w:rPr>
        <w:t xml:space="preserve">第八章 成本结构优化与运营效率提升</w:t>
      </w:r>
    </w:p>
    <w:p>
      <w:pPr>
        <w:spacing w:before="75" w:after="0"/>
      </w:pPr>
      <w:r>
        <w:rPr/>
        <w:t xml:space="preserve">第一节 互联网化对成本项的解构与重构</w:t>
      </w:r>
    </w:p>
    <w:p>
      <w:pPr>
        <w:spacing w:before="75" w:after="0"/>
      </w:pPr>
      <w:r>
        <w:rPr/>
        <w:t xml:space="preserve">一、销售费用率下降与技术投入占比上升</w:t>
      </w:r>
    </w:p>
    <w:p>
      <w:pPr>
        <w:spacing w:before="75" w:after="0"/>
      </w:pPr>
      <w:r>
        <w:rPr/>
        <w:t xml:space="preserve">二、中后台自动化对人力成本的替代效应</w:t>
      </w:r>
    </w:p>
    <w:p>
      <w:pPr>
        <w:spacing w:before="75" w:after="0"/>
      </w:pPr>
      <w:r>
        <w:rPr/>
        <w:t xml:space="preserve">三、云计算迁移对it固定成本的优化幅度</w:t>
      </w:r>
    </w:p>
    <w:p>
      <w:pPr>
        <w:spacing w:before="75" w:after="0"/>
      </w:pPr>
      <w:r>
        <w:rPr/>
        <w:t xml:space="preserve">第二节 智能运营体系的效率评估</w:t>
      </w:r>
    </w:p>
    <w:p>
      <w:pPr>
        <w:spacing w:before="75" w:after="0"/>
      </w:pPr>
      <w:r>
        <w:rPr/>
        <w:t xml:space="preserve">一、ai客服替代率与服务满意度平衡</w:t>
      </w:r>
    </w:p>
    <w:p>
      <w:pPr>
        <w:spacing w:before="75" w:after="0"/>
      </w:pPr>
      <w:r>
        <w:rPr/>
        <w:t xml:space="preserve">二、智能投研系统对基金经理覆盖能力的提升</w:t>
      </w:r>
    </w:p>
    <w:p>
      <w:pPr>
        <w:spacing w:before="75" w:after="0"/>
      </w:pPr>
      <w:r>
        <w:rPr/>
        <w:t xml:space="preserve">三、自动化运营中心(aoc)的差错率控制</w:t>
      </w:r>
    </w:p>
    <w:p>
      <w:pPr>
        <w:spacing w:before="75" w:after="0"/>
      </w:pPr>
      <w:r>
        <w:rPr/>
        <w:t xml:space="preserve">第三节 规模效应与边际成本曲线</w:t>
      </w:r>
    </w:p>
    <w:p>
      <w:pPr>
        <w:spacing w:before="75" w:after="0"/>
      </w:pPr>
      <w:r>
        <w:rPr/>
        <w:t xml:space="preserve">一、aum规模与管理费率的负相关关系</w:t>
      </w:r>
    </w:p>
    <w:p>
      <w:pPr>
        <w:spacing w:before="75" w:after="0"/>
      </w:pPr>
      <w:r>
        <w:rPr/>
        <w:t xml:space="preserve">二、技术投入的规模经济临界点测算</w:t>
      </w:r>
    </w:p>
    <w:p>
      <w:pPr>
        <w:spacing w:before="75" w:after="0"/>
      </w:pPr>
      <w:r>
        <w:rPr/>
        <w:t xml:space="preserve">三、中小机构轻资产运营模式的生存空间</w:t>
      </w:r>
    </w:p>
    <w:p>
      <w:pPr>
        <w:spacing w:before="75" w:after="0"/>
      </w:pPr>
      <w:r>
        <w:rPr>
          <w:b w:val="1"/>
          <w:bCs w:val="1"/>
        </w:rPr>
        <w:t xml:space="preserve">第九章 核心技术应用的深度与广度评估</w:t>
      </w:r>
    </w:p>
    <w:p>
      <w:pPr>
        <w:spacing w:before="75" w:after="0"/>
      </w:pPr>
      <w:r>
        <w:rPr/>
        <w:t xml:space="preserve">第一节 人工智能全栈式赋能体系</w:t>
      </w:r>
    </w:p>
    <w:p>
      <w:pPr>
        <w:spacing w:before="75" w:after="0"/>
      </w:pPr>
      <w:r>
        <w:rPr/>
        <w:t xml:space="preserve">一、投研端：另类数据挖掘与因子发现效率</w:t>
      </w:r>
    </w:p>
    <w:p>
      <w:pPr>
        <w:spacing w:before="75" w:after="0"/>
      </w:pPr>
      <w:r>
        <w:rPr/>
        <w:t xml:space="preserve">二、营销端：智能文案生成与精准投放roi</w:t>
      </w:r>
    </w:p>
    <w:p>
      <w:pPr>
        <w:spacing w:before="75" w:after="0"/>
      </w:pPr>
      <w:r>
        <w:rPr/>
        <w:t xml:space="preserve">三、风控端：实时舆情监测与流动性风险预警</w:t>
      </w:r>
    </w:p>
    <w:p>
      <w:pPr>
        <w:spacing w:before="75" w:after="0"/>
      </w:pPr>
      <w:r>
        <w:rPr/>
        <w:t xml:space="preserve">第二节 大数据分析能力建设</w:t>
      </w:r>
    </w:p>
    <w:p>
      <w:pPr>
        <w:spacing w:before="75" w:after="0"/>
      </w:pPr>
      <w:r>
        <w:rPr/>
        <w:t xml:space="preserve">一、客户行为数据的采集维度与合规边界</w:t>
      </w:r>
    </w:p>
    <w:p>
      <w:pPr>
        <w:spacing w:before="75" w:after="0"/>
      </w:pPr>
      <w:r>
        <w:rPr/>
        <w:t xml:space="preserve">二、市场数据的实时处理与决策支持</w:t>
      </w:r>
    </w:p>
    <w:p>
      <w:pPr>
        <w:spacing w:before="75" w:after="0"/>
      </w:pPr>
      <w:r>
        <w:rPr/>
        <w:t xml:space="preserve">三、第三方数据采购成本与质量评估</w:t>
      </w:r>
    </w:p>
    <w:p>
      <w:pPr>
        <w:spacing w:before="75" w:after="0"/>
      </w:pPr>
      <w:r>
        <w:rPr/>
        <w:t xml:space="preserve">第三节 下一代技术的前瞻布局</w:t>
      </w:r>
    </w:p>
    <w:p>
      <w:pPr>
        <w:spacing w:before="75" w:after="0"/>
      </w:pPr>
      <w:r>
        <w:rPr/>
        <w:t xml:space="preserve">一、联邦学习在跨机构数据协作中的应用</w:t>
      </w:r>
    </w:p>
    <w:p>
      <w:pPr>
        <w:spacing w:before="75" w:after="0"/>
      </w:pPr>
      <w:r>
        <w:rPr/>
        <w:t xml:space="preserve">二、数字人民币对基金支付结算的影响模拟</w:t>
      </w:r>
    </w:p>
    <w:p>
      <w:pPr>
        <w:spacing w:before="75" w:after="0"/>
      </w:pPr>
      <w:r>
        <w:rPr/>
        <w:t xml:space="preserve">三、元宇宙虚拟理财顾问的用户接受度调研</w:t>
      </w:r>
    </w:p>
    <w:p>
      <w:pPr>
        <w:spacing w:before="75" w:after="0"/>
      </w:pPr>
      <w:r>
        <w:rPr>
          <w:b w:val="1"/>
          <w:bCs w:val="1"/>
        </w:rPr>
        <w:t xml:space="preserve">第十章 竞争格局重构与差异化战略选择</w:t>
      </w:r>
    </w:p>
    <w:p>
      <w:pPr>
        <w:spacing w:before="75" w:after="0"/>
      </w:pPr>
      <w:r>
        <w:rPr/>
        <w:t xml:space="preserve">第一节 各类资管机构的互联网化程度对比</w:t>
      </w:r>
    </w:p>
    <w:p>
      <w:pPr>
        <w:spacing w:before="75" w:after="0"/>
      </w:pPr>
      <w:r>
        <w:rPr/>
        <w:t xml:space="preserve">一、银行系基金公司渠道依赖度与转型压力</w:t>
      </w:r>
    </w:p>
    <w:p>
      <w:pPr>
        <w:spacing w:before="75" w:after="0"/>
      </w:pPr>
      <w:r>
        <w:rPr/>
        <w:t xml:space="preserve">二、券商系基金公司投研优势数字化转化</w:t>
      </w:r>
    </w:p>
    <w:p>
      <w:pPr>
        <w:spacing w:before="75" w:after="0"/>
      </w:pPr>
      <w:r>
        <w:rPr/>
        <w:t xml:space="preserve">三、第三方独立销售平台的流量护城河</w:t>
      </w:r>
    </w:p>
    <w:p>
      <w:pPr>
        <w:spacing w:before="75" w:after="0"/>
      </w:pPr>
      <w:r>
        <w:rPr/>
        <w:t xml:space="preserve">第二节 头部集中化与尾部特色化趋势</w:t>
      </w:r>
    </w:p>
    <w:p>
      <w:pPr>
        <w:spacing w:before="75" w:after="0"/>
      </w:pPr>
      <w:r>
        <w:rPr/>
        <w:t xml:space="preserve">一、cr10市场份额变化与马太效应强度</w:t>
      </w:r>
    </w:p>
    <w:p>
      <w:pPr>
        <w:spacing w:before="75" w:after="0"/>
      </w:pPr>
      <w:r>
        <w:rPr/>
        <w:t xml:space="preserve">二、中小基金公司垂直领域突破成功率</w:t>
      </w:r>
    </w:p>
    <w:p>
      <w:pPr>
        <w:spacing w:before="75" w:after="0"/>
      </w:pPr>
      <w:r>
        <w:rPr/>
        <w:t xml:space="preserve">三、差异化费率策略的市场反应</w:t>
      </w:r>
    </w:p>
    <w:p>
      <w:pPr>
        <w:spacing w:before="75" w:after="0"/>
      </w:pPr>
      <w:r>
        <w:rPr/>
        <w:t xml:space="preserve">第三节 跨界竞争者的威胁评估</w:t>
      </w:r>
    </w:p>
    <w:p>
      <w:pPr>
        <w:spacing w:before="75" w:after="0"/>
      </w:pPr>
      <w:r>
        <w:rPr/>
        <w:t xml:space="preserve">一、互联网平台自有基金产品线布局</w:t>
      </w:r>
    </w:p>
    <w:p>
      <w:pPr>
        <w:spacing w:before="75" w:after="0"/>
      </w:pPr>
      <w:r>
        <w:rPr/>
        <w:t xml:space="preserve">二、海外资管机构数字渠道进入壁垒</w:t>
      </w:r>
    </w:p>
    <w:p>
      <w:pPr>
        <w:spacing w:before="75" w:after="0"/>
      </w:pPr>
      <w:r>
        <w:rPr/>
        <w:t xml:space="preserve">三、保险/信托同业数字化产品竞争</w:t>
      </w:r>
    </w:p>
    <w:p>
      <w:pPr>
        <w:spacing w:before="75" w:after="0"/>
      </w:pPr>
      <w:r>
        <w:rPr>
          <w:b w:val="1"/>
          <w:bCs w:val="1"/>
        </w:rPr>
        <w:t xml:space="preserve">第十一章 投资主体行为与资金流动规律</w:t>
      </w:r>
    </w:p>
    <w:p>
      <w:pPr>
        <w:spacing w:before="75" w:after="0"/>
      </w:pPr>
      <w:r>
        <w:rPr/>
        <w:t xml:space="preserve">第一节 个人投资者数字化迁移行为</w:t>
      </w:r>
    </w:p>
    <w:p>
      <w:pPr>
        <w:spacing w:before="75" w:after="0"/>
      </w:pPr>
      <w:r>
        <w:rPr/>
        <w:t xml:space="preserve">一、线上首次购买基金的用户年龄分布</w:t>
      </w:r>
    </w:p>
    <w:p>
      <w:pPr>
        <w:spacing w:before="75" w:after="0"/>
      </w:pPr>
      <w:r>
        <w:rPr/>
        <w:t xml:space="preserve">二、移动端交易频次与平均持仓时长</w:t>
      </w:r>
    </w:p>
    <w:p>
      <w:pPr>
        <w:spacing w:before="75" w:after="0"/>
      </w:pPr>
      <w:r>
        <w:rPr/>
        <w:t xml:space="preserve">三、社交媒体对基金购买决策的影响系数</w:t>
      </w:r>
    </w:p>
    <w:p>
      <w:pPr>
        <w:spacing w:before="75" w:after="0"/>
      </w:pPr>
      <w:r>
        <w:rPr/>
        <w:t xml:space="preserve">第二节 机构投资者的配置策略变化</w:t>
      </w:r>
    </w:p>
    <w:p>
      <w:pPr>
        <w:spacing w:before="75" w:after="0"/>
      </w:pPr>
      <w:r>
        <w:rPr/>
        <w:t xml:space="preserve">一、智能投顾在养老金/银行理财中的采纳率</w:t>
      </w:r>
    </w:p>
    <w:p>
      <w:pPr>
        <w:spacing w:before="75" w:after="0"/>
      </w:pPr>
      <w:r>
        <w:rPr/>
        <w:t xml:space="preserve">二、机构客户对基金公司数字化能力要求</w:t>
      </w:r>
    </w:p>
    <w:p>
      <w:pPr>
        <w:spacing w:before="75" w:after="0"/>
      </w:pPr>
      <w:r>
        <w:rPr/>
        <w:t xml:space="preserve">三、委外投资中的技术评估权重占比</w:t>
      </w:r>
    </w:p>
    <w:p>
      <w:pPr>
        <w:spacing w:before="75" w:after="0"/>
      </w:pPr>
      <w:r>
        <w:rPr/>
        <w:t xml:space="preserve">第三节 跨境资金流动的数字化趋势</w:t>
      </w:r>
    </w:p>
    <w:p>
      <w:pPr>
        <w:spacing w:before="75" w:after="0"/>
      </w:pPr>
      <w:r>
        <w:rPr/>
        <w:t xml:space="preserve">一、qdii/qfii额度使用效率与线上化程度</w:t>
      </w:r>
    </w:p>
    <w:p>
      <w:pPr>
        <w:spacing w:before="75" w:after="0"/>
      </w:pPr>
      <w:r>
        <w:rPr/>
        <w:t xml:space="preserve">二、互认基金互联网销售规模预测</w:t>
      </w:r>
    </w:p>
    <w:p>
      <w:pPr>
        <w:spacing w:before="75" w:after="0"/>
      </w:pPr>
      <w:r>
        <w:rPr/>
        <w:t xml:space="preserve">三、离岸人民币资金回流投资路径</w:t>
      </w:r>
    </w:p>
    <w:p>
      <w:pPr>
        <w:spacing w:before="75" w:after="0"/>
      </w:pPr>
      <w:r>
        <w:rPr>
          <w:b w:val="1"/>
          <w:bCs w:val="1"/>
        </w:rPr>
        <w:t xml:space="preserve">第十二章 风险管理模型的智能化升级</w:t>
      </w:r>
    </w:p>
    <w:p>
      <w:pPr>
        <w:spacing w:before="75" w:after="0"/>
      </w:pPr>
      <w:r>
        <w:rPr/>
        <w:t xml:space="preserve">第一节 市场风险管理的数字化工具</w:t>
      </w:r>
    </w:p>
    <w:p>
      <w:pPr>
        <w:spacing w:before="75" w:after="0"/>
      </w:pPr>
      <w:r>
        <w:rPr/>
        <w:t xml:space="preserve">一、var模型结合ai的预测精度提升</w:t>
      </w:r>
    </w:p>
    <w:p>
      <w:pPr>
        <w:spacing w:before="75" w:after="0"/>
      </w:pPr>
      <w:r>
        <w:rPr/>
        <w:t xml:space="preserve">二、压力测试场景的机器学习生成</w:t>
      </w:r>
    </w:p>
    <w:p>
      <w:pPr>
        <w:spacing w:before="75" w:after="0"/>
      </w:pPr>
      <w:r>
        <w:rPr/>
        <w:t xml:space="preserve">三、流动性风险的实时监测指标</w:t>
      </w:r>
    </w:p>
    <w:p>
      <w:pPr>
        <w:spacing w:before="75" w:after="0"/>
      </w:pPr>
      <w:r>
        <w:rPr/>
        <w:t xml:space="preserve">第二节 信用风险与操作风险管控</w:t>
      </w:r>
    </w:p>
    <w:p>
      <w:pPr>
        <w:spacing w:before="75" w:after="0"/>
      </w:pPr>
      <w:r>
        <w:rPr/>
        <w:t xml:space="preserve">一、债券持仓的ai信用评级跟踪</w:t>
      </w:r>
    </w:p>
    <w:p>
      <w:pPr>
        <w:spacing w:before="75" w:after="0"/>
      </w:pPr>
      <w:r>
        <w:rPr/>
        <w:t xml:space="preserve">二、交易流程的区块链存证验证</w:t>
      </w:r>
    </w:p>
    <w:p>
      <w:pPr>
        <w:spacing w:before="75" w:after="0"/>
      </w:pPr>
      <w:r>
        <w:rPr/>
        <w:t xml:space="preserve">三、员工行为监控的合规科技应用</w:t>
      </w:r>
    </w:p>
    <w:p>
      <w:pPr>
        <w:spacing w:before="75" w:after="0"/>
      </w:pPr>
      <w:r>
        <w:rPr/>
        <w:t xml:space="preserve">第三节 声誉风险与网络风险量化</w:t>
      </w:r>
    </w:p>
    <w:p>
      <w:pPr>
        <w:spacing w:before="75" w:after="0"/>
      </w:pPr>
      <w:r>
        <w:rPr/>
        <w:t xml:space="preserve">一、社交媒体舆情情感分析预警</w:t>
      </w:r>
    </w:p>
    <w:p>
      <w:pPr>
        <w:spacing w:before="75" w:after="0"/>
      </w:pPr>
      <w:r>
        <w:rPr/>
        <w:t xml:space="preserve">二、网络安全投入的产出弹性</w:t>
      </w:r>
    </w:p>
    <w:p>
      <w:pPr>
        <w:spacing w:before="75" w:after="0"/>
      </w:pPr>
      <w:r>
        <w:rPr/>
        <w:t xml:space="preserve">三、重大风险事件的传染速度模型</w:t>
      </w:r>
    </w:p>
    <w:p>
      <w:pPr>
        <w:spacing w:before="75" w:after="0"/>
      </w:pPr>
      <w:r>
        <w:rPr>
          <w:b w:val="1"/>
          <w:bCs w:val="1"/>
        </w:rPr>
        <w:t xml:space="preserve">第十三章 esg投资与可持续金融的数字化实践</w:t>
      </w:r>
    </w:p>
    <w:p>
      <w:pPr>
        <w:spacing w:before="75" w:after="0"/>
      </w:pPr>
      <w:r>
        <w:rPr/>
        <w:t xml:space="preserve">第一节 esg数据获取与评价体系</w:t>
      </w:r>
    </w:p>
    <w:p>
      <w:pPr>
        <w:spacing w:before="75" w:after="0"/>
      </w:pPr>
      <w:r>
        <w:rPr/>
        <w:t xml:space="preserve">一、第三方esg数据提供商市场格局</w:t>
      </w:r>
    </w:p>
    <w:p>
      <w:pPr>
        <w:spacing w:before="75" w:after="0"/>
      </w:pPr>
      <w:r>
        <w:rPr/>
        <w:t xml:space="preserve">二、ai辅助的esg负面新闻挖掘效率</w:t>
      </w:r>
    </w:p>
    <w:p>
      <w:pPr>
        <w:spacing w:before="75" w:after="0"/>
      </w:pPr>
      <w:r>
        <w:rPr/>
        <w:t xml:space="preserve">三、本土化esg因子有效性验证</w:t>
      </w:r>
    </w:p>
    <w:p>
      <w:pPr>
        <w:spacing w:before="75" w:after="0"/>
      </w:pPr>
      <w:r>
        <w:rPr/>
        <w:t xml:space="preserve">第二节 esg产品互联网化销售策略</w:t>
      </w:r>
    </w:p>
    <w:p>
      <w:pPr>
        <w:spacing w:before="75" w:after="0"/>
      </w:pPr>
      <w:r>
        <w:rPr/>
        <w:t xml:space="preserve">一、绿色基金主题营销的转化率</w:t>
      </w:r>
    </w:p>
    <w:p>
      <w:pPr>
        <w:spacing w:before="75" w:after="0"/>
      </w:pPr>
      <w:r>
        <w:rPr/>
        <w:t xml:space="preserve">二、个人投资者esg偏好调研数据</w:t>
      </w:r>
    </w:p>
    <w:p>
      <w:pPr>
        <w:spacing w:before="75" w:after="0"/>
      </w:pPr>
      <w:r>
        <w:rPr/>
        <w:t xml:space="preserve">三、碳账户与基金投资挂钩模式</w:t>
      </w:r>
    </w:p>
    <w:p>
      <w:pPr>
        <w:spacing w:before="75" w:after="0"/>
      </w:pPr>
      <w:r>
        <w:rPr/>
        <w:t xml:space="preserve">第三节 可持续投资的绩效评估</w:t>
      </w:r>
    </w:p>
    <w:p>
      <w:pPr>
        <w:spacing w:before="75" w:after="0"/>
      </w:pPr>
      <w:r>
        <w:rPr/>
        <w:t xml:space="preserve">一、esg基金风险调整后收益对比</w:t>
      </w:r>
    </w:p>
    <w:p>
      <w:pPr>
        <w:spacing w:before="75" w:after="0"/>
      </w:pPr>
      <w:r>
        <w:rPr/>
        <w:t xml:space="preserve">二、esg产品费率溢价接受度</w:t>
      </w:r>
    </w:p>
    <w:p>
      <w:pPr>
        <w:spacing w:before="75" w:after="0"/>
      </w:pPr>
      <w:r>
        <w:rPr/>
        <w:t xml:space="preserve">三、监管对esg信息披露的要求升级</w:t>
      </w:r>
    </w:p>
    <w:p>
      <w:pPr>
        <w:spacing w:before="75" w:after="0"/>
      </w:pPr>
      <w:r>
        <w:rPr>
          <w:b w:val="1"/>
          <w:bCs w:val="1"/>
        </w:rPr>
        <w:t xml:space="preserve">第十四章 区域市场发展差异与空间布局</w:t>
      </w:r>
    </w:p>
    <w:p>
      <w:pPr>
        <w:spacing w:before="75" w:after="0"/>
      </w:pPr>
      <w:r>
        <w:rPr/>
        <w:t xml:space="preserve">第一节 一线城市与下沉市场对比</w:t>
      </w:r>
    </w:p>
    <w:p>
      <w:pPr>
        <w:spacing w:before="75" w:after="0"/>
      </w:pPr>
      <w:r>
        <w:rPr/>
        <w:t xml:space="preserve">一、北上广深杭数字化渗透率饱和值</w:t>
      </w:r>
    </w:p>
    <w:p>
      <w:pPr>
        <w:spacing w:before="75" w:after="0"/>
      </w:pPr>
      <w:r>
        <w:rPr/>
        <w:t xml:space="preserve">二、三四线城市基金购买增长潜力</w:t>
      </w:r>
    </w:p>
    <w:p>
      <w:pPr>
        <w:spacing w:before="75" w:after="0"/>
      </w:pPr>
      <w:r>
        <w:rPr/>
        <w:t xml:space="preserve">三、县域农村市场互联网理财触达率</w:t>
      </w:r>
    </w:p>
    <w:p>
      <w:pPr>
        <w:spacing w:before="75" w:after="0"/>
      </w:pPr>
      <w:r>
        <w:rPr/>
        <w:t xml:space="preserve">第二节 重点区域市场深度剖析</w:t>
      </w:r>
    </w:p>
    <w:p>
      <w:pPr>
        <w:spacing w:before="75" w:after="0"/>
      </w:pPr>
      <w:r>
        <w:rPr/>
        <w:t xml:space="preserve">一、粤港澳大湾区跨境理财通影响</w:t>
      </w:r>
    </w:p>
    <w:p>
      <w:pPr>
        <w:spacing w:before="75" w:after="0"/>
      </w:pPr>
      <w:r>
        <w:rPr/>
        <w:t xml:space="preserve">二、长三角地区高净值客户密度</w:t>
      </w:r>
    </w:p>
    <w:p>
      <w:pPr>
        <w:spacing w:before="75" w:after="0"/>
      </w:pPr>
      <w:r>
        <w:rPr/>
        <w:t xml:space="preserve">三、成渝经济圈的新兴消费群体</w:t>
      </w:r>
    </w:p>
    <w:p>
      <w:pPr>
        <w:spacing w:before="75" w:after="0"/>
      </w:pPr>
      <w:r>
        <w:rPr/>
        <w:t xml:space="preserve">第三节 区域化运营策略的roi评估</w:t>
      </w:r>
    </w:p>
    <w:p>
      <w:pPr>
        <w:spacing w:before="75" w:after="0"/>
      </w:pPr>
      <w:r>
        <w:rPr/>
        <w:t xml:space="preserve">一、本地化内容营销投入产出比</w:t>
      </w:r>
    </w:p>
    <w:p>
      <w:pPr>
        <w:spacing w:before="75" w:after="0"/>
      </w:pPr>
      <w:r>
        <w:rPr/>
        <w:t xml:space="preserve">二、区域特色产品设计的成功率</w:t>
      </w:r>
    </w:p>
    <w:p>
      <w:pPr>
        <w:spacing w:before="75" w:after="0"/>
      </w:pPr>
      <w:r>
        <w:rPr/>
        <w:t xml:space="preserve">三、线下服务网点最小经济规模</w:t>
      </w:r>
    </w:p>
    <w:p>
      <w:pPr>
        <w:spacing w:before="75" w:after="0"/>
      </w:pPr>
      <w:r>
        <w:rPr>
          <w:b w:val="1"/>
          <w:bCs w:val="1"/>
        </w:rPr>
        <w:t xml:space="preserve">第十五章 国际化发展与全球资产配置</w:t>
      </w:r>
    </w:p>
    <w:p>
      <w:pPr>
        <w:spacing w:before="75" w:after="0"/>
      </w:pPr>
      <w:r>
        <w:rPr/>
        <w:t xml:space="preserve">第一节 中资机构出海数字化布局</w:t>
      </w:r>
    </w:p>
    <w:p>
      <w:pPr>
        <w:spacing w:before="75" w:after="0"/>
      </w:pPr>
      <w:r>
        <w:rPr/>
        <w:t xml:space="preserve">一、香港市场虚拟基金销售平台成本</w:t>
      </w:r>
    </w:p>
    <w:p>
      <w:pPr>
        <w:spacing w:before="75" w:after="0"/>
      </w:pPr>
      <w:r>
        <w:rPr/>
        <w:t xml:space="preserve">二、东南亚市场移动支付渗透率与基金销售</w:t>
      </w:r>
    </w:p>
    <w:p>
      <w:pPr>
        <w:spacing w:before="75" w:after="0"/>
      </w:pPr>
      <w:r>
        <w:rPr/>
        <w:t xml:space="preserve">三、欧美市场智能投顾牌照获取难度</w:t>
      </w:r>
    </w:p>
    <w:p>
      <w:pPr>
        <w:spacing w:before="75" w:after="0"/>
      </w:pPr>
      <w:r>
        <w:rPr/>
        <w:t xml:space="preserve">第二节 外资机构在华数字渠道策略</w:t>
      </w:r>
    </w:p>
    <w:p>
      <w:pPr>
        <w:spacing w:before="75" w:after="0"/>
      </w:pPr>
      <w:r>
        <w:rPr/>
        <w:t xml:space="preserve">一、独资基金公司线上化投入规模</w:t>
      </w:r>
    </w:p>
    <w:p>
      <w:pPr>
        <w:spacing w:before="75" w:after="0"/>
      </w:pPr>
      <w:r>
        <w:rPr/>
        <w:t xml:space="preserve">二、中外合资平台的技术本土化挑战</w:t>
      </w:r>
    </w:p>
    <w:p>
      <w:pPr>
        <w:spacing w:before="75" w:after="0"/>
      </w:pPr>
      <w:r>
        <w:rPr/>
        <w:t xml:space="preserve">三、跨境数据传输的合规成本</w:t>
      </w:r>
    </w:p>
    <w:p>
      <w:pPr>
        <w:spacing w:before="75" w:after="0"/>
      </w:pPr>
      <w:r>
        <w:rPr/>
        <w:t xml:space="preserve">第三节 全球资产配置的数字化工具</w:t>
      </w:r>
    </w:p>
    <w:p>
      <w:pPr>
        <w:spacing w:before="75" w:after="0"/>
      </w:pPr>
      <w:r>
        <w:rPr/>
        <w:t xml:space="preserve">一、跨市场etf组合优化模型</w:t>
      </w:r>
    </w:p>
    <w:p>
      <w:pPr>
        <w:spacing w:before="75" w:after="0"/>
      </w:pPr>
      <w:r>
        <w:rPr/>
        <w:t xml:space="preserve">二、汇率风险对冲的自动化策略</w:t>
      </w:r>
    </w:p>
    <w:p>
      <w:pPr>
        <w:spacing w:before="75" w:after="0"/>
      </w:pPr>
      <w:r>
        <w:rPr/>
        <w:t xml:space="preserve">三、全球市场实时资讯整合成本</w:t>
      </w:r>
    </w:p>
    <w:p>
      <w:pPr>
        <w:spacing w:before="75" w:after="0"/>
      </w:pPr>
      <w:r>
        <w:rPr>
          <w:b w:val="1"/>
          <w:bCs w:val="1"/>
        </w:rPr>
        <w:t xml:space="preserve">第十六章 中小基金公司轻资产突围路径</w:t>
      </w:r>
    </w:p>
    <w:p>
      <w:pPr>
        <w:spacing w:before="75" w:after="0"/>
      </w:pPr>
      <w:r>
        <w:rPr/>
        <w:t xml:space="preserve">第一节 技术外包与saas服务模式</w:t>
      </w:r>
    </w:p>
    <w:p>
      <w:pPr>
        <w:spacing w:before="75" w:after="0"/>
      </w:pPr>
      <w:r>
        <w:rPr/>
        <w:t xml:space="preserve">一、核心系统外购vs自建的成本对比</w:t>
      </w:r>
    </w:p>
    <w:p>
      <w:pPr>
        <w:spacing w:before="75" w:after="0"/>
      </w:pPr>
      <w:r>
        <w:rPr/>
        <w:t xml:space="preserve">二、云原生架构的弹性扩展能力</w:t>
      </w:r>
    </w:p>
    <w:p>
      <w:pPr>
        <w:spacing w:before="75" w:after="0"/>
      </w:pPr>
      <w:r>
        <w:rPr/>
        <w:t xml:space="preserve">三、第三方技术服务市场集中度</w:t>
      </w:r>
    </w:p>
    <w:p>
      <w:pPr>
        <w:spacing w:before="75" w:after="0"/>
      </w:pPr>
      <w:r>
        <w:rPr/>
        <w:t xml:space="preserve">第二节 垂直领域专业化深耕</w:t>
      </w:r>
    </w:p>
    <w:p>
      <w:pPr>
        <w:spacing w:before="75" w:after="0"/>
      </w:pPr>
      <w:r>
        <w:rPr/>
        <w:t xml:space="preserve">一、赛道型基金公司规模增长天花板</w:t>
      </w:r>
    </w:p>
    <w:p>
      <w:pPr>
        <w:spacing w:before="75" w:after="0"/>
      </w:pPr>
      <w:r>
        <w:rPr/>
        <w:t xml:space="preserve">二、细分行业(如reits、碳中和)专家品牌溢价</w:t>
      </w:r>
    </w:p>
    <w:p>
      <w:pPr>
        <w:spacing w:before="75" w:after="0"/>
      </w:pPr>
      <w:r>
        <w:rPr/>
        <w:t xml:space="preserve">三、单一领域投研深度与线上获客效率</w:t>
      </w:r>
    </w:p>
    <w:p>
      <w:pPr>
        <w:spacing w:before="75" w:after="0"/>
      </w:pPr>
      <w:r>
        <w:rPr/>
        <w:t xml:space="preserve">第三节 联合运营与生态嵌入策略</w:t>
      </w:r>
    </w:p>
    <w:p>
      <w:pPr>
        <w:spacing w:before="75" w:after="0"/>
      </w:pPr>
      <w:r>
        <w:rPr/>
        <w:t xml:space="preserve">一、银行渠道专属定制产品分成模式</w:t>
      </w:r>
    </w:p>
    <w:p>
      <w:pPr>
        <w:spacing w:before="75" w:after="0"/>
      </w:pPr>
      <w:r>
        <w:rPr/>
        <w:t xml:space="preserve">二、互联网平台白标基金服务收入</w:t>
      </w:r>
    </w:p>
    <w:p>
      <w:pPr>
        <w:spacing w:before="75" w:after="0"/>
      </w:pPr>
      <w:r>
        <w:rPr/>
        <w:t xml:space="preserve">三、投顾服务外包的规模化可能性</w:t>
      </w:r>
    </w:p>
    <w:p>
      <w:pPr>
        <w:spacing w:before="75" w:after="0"/>
      </w:pPr>
      <w:r>
        <w:rPr>
          <w:b w:val="1"/>
          <w:bCs w:val="1"/>
        </w:rPr>
        <w:t xml:space="preserve">第十七章 数据资产化与商业智能决策</w:t>
      </w:r>
    </w:p>
    <w:p>
      <w:pPr>
        <w:spacing w:before="75" w:after="0"/>
      </w:pPr>
      <w:r>
        <w:rPr/>
        <w:t xml:space="preserve">第一节 数据资产的价值评估体系</w:t>
      </w:r>
    </w:p>
    <w:p>
      <w:pPr>
        <w:spacing w:before="75" w:after="0"/>
      </w:pPr>
      <w:r>
        <w:rPr/>
        <w:t xml:space="preserve">一、客户数据、交易数据、行为数据的价值分层</w:t>
      </w:r>
    </w:p>
    <w:p>
      <w:pPr>
        <w:spacing w:before="75" w:after="0"/>
      </w:pPr>
      <w:r>
        <w:rPr/>
        <w:t xml:space="preserve">二、数据资产入表对财务报表的影响</w:t>
      </w:r>
    </w:p>
    <w:p>
      <w:pPr>
        <w:spacing w:before="75" w:after="0"/>
      </w:pPr>
      <w:r>
        <w:rPr/>
        <w:t xml:space="preserve">三、数据交易市场的价格发现机制</w:t>
      </w:r>
    </w:p>
    <w:p>
      <w:pPr>
        <w:spacing w:before="75" w:after="0"/>
      </w:pPr>
      <w:r>
        <w:rPr/>
        <w:t xml:space="preserve">第二节 bi系统在管理决策中的应用</w:t>
      </w:r>
    </w:p>
    <w:p>
      <w:pPr>
        <w:spacing w:before="75" w:after="0"/>
      </w:pPr>
      <w:r>
        <w:rPr/>
        <w:t xml:space="preserve">一、高管驾驶舱的关键指标设计</w:t>
      </w:r>
    </w:p>
    <w:p>
      <w:pPr>
        <w:spacing w:before="75" w:after="0"/>
      </w:pPr>
      <w:r>
        <w:rPr/>
        <w:t xml:space="preserve">二、销售预测的机器学习模型准确率</w:t>
      </w:r>
    </w:p>
    <w:p>
      <w:pPr>
        <w:spacing w:before="75" w:after="0"/>
      </w:pPr>
      <w:r>
        <w:rPr/>
        <w:t xml:space="preserve">三、产品生命周期管理的数据支持</w:t>
      </w:r>
    </w:p>
    <w:p>
      <w:pPr>
        <w:spacing w:before="75" w:after="0"/>
      </w:pPr>
      <w:r>
        <w:rPr/>
        <w:t xml:space="preserve">第三节 数据中台建设的成本效益</w:t>
      </w:r>
    </w:p>
    <w:p>
      <w:pPr>
        <w:spacing w:before="75" w:after="0"/>
      </w:pPr>
      <w:r>
        <w:rPr/>
        <w:t xml:space="preserve">一、数据中台与传统数据仓库投入对比</w:t>
      </w:r>
    </w:p>
    <w:p>
      <w:pPr>
        <w:spacing w:before="75" w:after="0"/>
      </w:pPr>
      <w:r>
        <w:rPr/>
        <w:t xml:space="preserve">二、数据治理的组织架构与流程成本</w:t>
      </w:r>
    </w:p>
    <w:p>
      <w:pPr>
        <w:spacing w:before="75" w:after="0"/>
      </w:pPr>
      <w:r>
        <w:rPr/>
        <w:t xml:space="preserve">三、数据应用开发效率提升倍数</w:t>
      </w:r>
    </w:p>
    <w:p>
      <w:pPr>
        <w:spacing w:before="75" w:after="0"/>
      </w:pPr>
      <w:r>
        <w:rPr>
          <w:b w:val="1"/>
          <w:bCs w:val="1"/>
        </w:rPr>
        <w:t xml:space="preserve">第十八章 组织变革与数字化人才战略</w:t>
      </w:r>
    </w:p>
    <w:p>
      <w:pPr>
        <w:spacing w:before="75" w:after="0"/>
      </w:pPr>
      <w:r>
        <w:rPr/>
        <w:t xml:space="preserve">第一节 数字化原生组织的构建</w:t>
      </w:r>
    </w:p>
    <w:p>
      <w:pPr>
        <w:spacing w:before="75" w:after="0"/>
      </w:pPr>
      <w:r>
        <w:rPr/>
        <w:t xml:space="preserve">一、科技人员占比与创新能力相关性</w:t>
      </w:r>
    </w:p>
    <w:p>
      <w:pPr>
        <w:spacing w:before="75" w:after="0"/>
      </w:pPr>
      <w:r>
        <w:rPr/>
        <w:t xml:space="preserve">二、敏捷开发与devops实施覆盖率</w:t>
      </w:r>
    </w:p>
    <w:p>
      <w:pPr>
        <w:spacing w:before="75" w:after="0"/>
      </w:pPr>
      <w:r>
        <w:rPr/>
        <w:t xml:space="preserve">三、跨部门数据协作的流程效率</w:t>
      </w:r>
    </w:p>
    <w:p>
      <w:pPr>
        <w:spacing w:before="75" w:after="0"/>
      </w:pPr>
      <w:r>
        <w:rPr/>
        <w:t xml:space="preserve">第二节 核心岗位能力模型升级</w:t>
      </w:r>
    </w:p>
    <w:p>
      <w:pPr>
        <w:spacing w:before="75" w:after="0"/>
      </w:pPr>
      <w:r>
        <w:rPr/>
        <w:t xml:space="preserve">一、基金经理的量化分析能力要求</w:t>
      </w:r>
    </w:p>
    <w:p>
      <w:pPr>
        <w:spacing w:before="75" w:after="0"/>
      </w:pPr>
      <w:r>
        <w:rPr/>
        <w:t xml:space="preserve">二、客户经理的数字化工具使用熟练度</w:t>
      </w:r>
    </w:p>
    <w:p>
      <w:pPr>
        <w:spacing w:before="75" w:after="0"/>
      </w:pPr>
      <w:r>
        <w:rPr/>
        <w:t xml:space="preserve">三、it人员的金融业务理解深度</w:t>
      </w:r>
    </w:p>
    <w:p>
      <w:pPr>
        <w:spacing w:before="75" w:after="0"/>
      </w:pPr>
      <w:r>
        <w:rPr/>
        <w:t xml:space="preserve">第三节 人力资源投入产出分析</w:t>
      </w:r>
    </w:p>
    <w:p>
      <w:pPr>
        <w:spacing w:before="75" w:after="0"/>
      </w:pPr>
      <w:r>
        <w:rPr/>
        <w:t xml:space="preserve">一、科技人才薪酬溢价与留存率</w:t>
      </w:r>
    </w:p>
    <w:p>
      <w:pPr>
        <w:spacing w:before="75" w:after="0"/>
      </w:pPr>
      <w:r>
        <w:rPr/>
        <w:t xml:space="preserve">二、培训投入对绩效提升的边际效应</w:t>
      </w:r>
    </w:p>
    <w:p>
      <w:pPr>
        <w:spacing w:before="75" w:after="0"/>
      </w:pPr>
      <w:r>
        <w:rPr/>
        <w:t xml:space="preserve">三、远程办公模式下的效率损失与成本节约</w:t>
      </w:r>
    </w:p>
    <w:p>
      <w:pPr>
        <w:spacing w:before="75" w:after="0"/>
      </w:pPr>
      <w:r>
        <w:rPr>
          <w:b w:val="1"/>
          <w:bCs w:val="1"/>
        </w:rPr>
        <w:t xml:space="preserve">第十九章 未来五年投资机会全景扫描</w:t>
      </w:r>
    </w:p>
    <w:p>
      <w:pPr>
        <w:spacing w:before="75" w:after="0"/>
      </w:pPr>
      <w:r>
        <w:rPr/>
        <w:t xml:space="preserve">第一节 细分赛道投资吸引力排名</w:t>
      </w:r>
    </w:p>
    <w:p>
      <w:pPr>
        <w:spacing w:before="75" w:after="0"/>
      </w:pPr>
      <w:r>
        <w:rPr/>
        <w:t xml:space="preserve">一、智能投顾系统服务商估值模型</w:t>
      </w:r>
    </w:p>
    <w:p>
      <w:pPr>
        <w:spacing w:before="75" w:after="0"/>
      </w:pPr>
      <w:r>
        <w:rPr/>
        <w:t xml:space="preserve">二、基金saas平台市场容量预测</w:t>
      </w:r>
    </w:p>
    <w:p>
      <w:pPr>
        <w:spacing w:before="75" w:after="0"/>
      </w:pPr>
      <w:r>
        <w:rPr/>
        <w:t xml:space="preserve">三、另类数据提供商毛利率水平</w:t>
      </w:r>
    </w:p>
    <w:p>
      <w:pPr>
        <w:spacing w:before="75" w:after="0"/>
      </w:pPr>
      <w:r>
        <w:rPr/>
        <w:t xml:space="preserve">第二节 产业链关键环节价值分布</w:t>
      </w:r>
    </w:p>
    <w:p>
      <w:pPr>
        <w:spacing w:before="75" w:after="0"/>
      </w:pPr>
      <w:r>
        <w:rPr/>
        <w:t xml:space="preserve">一、流量入口端议价能力变化</w:t>
      </w:r>
    </w:p>
    <w:p>
      <w:pPr>
        <w:spacing w:before="75" w:after="0"/>
      </w:pPr>
      <w:r>
        <w:rPr/>
        <w:t xml:space="preserve">二、技术服务端价值捕获比例</w:t>
      </w:r>
    </w:p>
    <w:p>
      <w:pPr>
        <w:spacing w:before="75" w:after="0"/>
      </w:pPr>
      <w:r>
        <w:rPr/>
        <w:t xml:space="preserve">三、资产管理端利润空间压缩</w:t>
      </w:r>
    </w:p>
    <w:p>
      <w:pPr>
        <w:spacing w:before="75" w:after="0"/>
      </w:pPr>
      <w:r>
        <w:rPr/>
        <w:t xml:space="preserve">第三节 投资时机与退出策略</w:t>
      </w:r>
    </w:p>
    <w:p>
      <w:pPr>
        <w:spacing w:before="75" w:after="0"/>
      </w:pPr>
      <w:r>
        <w:rPr/>
        <w:t xml:space="preserve">一、商业模式验证阶段的投资风险</w:t>
      </w:r>
    </w:p>
    <w:p>
      <w:pPr>
        <w:spacing w:before="75" w:after="0"/>
      </w:pPr>
      <w:r>
        <w:rPr/>
        <w:t xml:space="preserve">二、规模化扩张阶段的估值倍数</w:t>
      </w:r>
    </w:p>
    <w:p>
      <w:pPr>
        <w:spacing w:before="75" w:after="0"/>
      </w:pPr>
      <w:r>
        <w:rPr/>
        <w:t xml:space="preserve">三、并购整合趋势与标的筛选标准</w:t>
      </w:r>
    </w:p>
    <w:p>
      <w:pPr>
        <w:spacing w:before="75" w:after="0"/>
      </w:pPr>
      <w:r>
        <w:rPr>
          <w:b w:val="1"/>
          <w:bCs w:val="1"/>
        </w:rPr>
        <w:t xml:space="preserve">第二十章 战略风险识别与动态规避机制</w:t>
      </w:r>
    </w:p>
    <w:p>
      <w:pPr>
        <w:spacing w:before="75" w:after="0"/>
      </w:pPr>
      <w:r>
        <w:rPr/>
        <w:t xml:space="preserve">第一节 技术路线选择风险</w:t>
      </w:r>
    </w:p>
    <w:p>
      <w:pPr>
        <w:spacing w:before="75" w:after="0"/>
      </w:pPr>
      <w:r>
        <w:rPr/>
        <w:t xml:space="preserve">一、ai大模型自主研发vs采购的决策矩阵</w:t>
      </w:r>
    </w:p>
    <w:p>
      <w:pPr>
        <w:spacing w:before="75" w:after="0"/>
      </w:pPr>
      <w:r>
        <w:rPr/>
        <w:t xml:space="preserve">二、系统架构选型错误的沉没成本</w:t>
      </w:r>
    </w:p>
    <w:p>
      <w:pPr>
        <w:spacing w:before="75" w:after="0"/>
      </w:pPr>
      <w:r>
        <w:rPr/>
        <w:t xml:space="preserve">三、技术迭代周期的投资回收压力</w:t>
      </w:r>
    </w:p>
    <w:p>
      <w:pPr>
        <w:spacing w:before="75" w:after="0"/>
      </w:pPr>
      <w:r>
        <w:rPr/>
        <w:t xml:space="preserve">第二节 市场接受度风险</w:t>
      </w:r>
    </w:p>
    <w:p>
      <w:pPr>
        <w:spacing w:before="75" w:after="0"/>
      </w:pPr>
      <w:r>
        <w:rPr/>
        <w:t xml:space="preserve">一、投资者对新收费模式的敏感度</w:t>
      </w:r>
    </w:p>
    <w:p>
      <w:pPr>
        <w:spacing w:before="75" w:after="0"/>
      </w:pPr>
      <w:r>
        <w:rPr/>
        <w:t xml:space="preserve">二、智能投顾业绩不达预期的声誉损失</w:t>
      </w:r>
    </w:p>
    <w:p>
      <w:pPr>
        <w:spacing w:before="75" w:after="0"/>
      </w:pPr>
      <w:r>
        <w:rPr/>
        <w:t xml:space="preserve">三、流量成本上升对盈利模型的冲击</w:t>
      </w:r>
    </w:p>
    <w:p>
      <w:pPr>
        <w:spacing w:before="75" w:after="0"/>
      </w:pPr>
      <w:r>
        <w:rPr/>
        <w:t xml:space="preserve">第三节 系统性风险的数字化应对</w:t>
      </w:r>
    </w:p>
    <w:p>
      <w:pPr>
        <w:spacing w:before="75" w:after="0"/>
      </w:pPr>
      <w:r>
        <w:rPr/>
        <w:t xml:space="preserve">一、市场极端波动的流动性压力测试</w:t>
      </w:r>
    </w:p>
    <w:p>
      <w:pPr>
        <w:spacing w:before="75" w:after="0"/>
      </w:pPr>
      <w:r>
        <w:rPr/>
        <w:t xml:space="preserve">二、监管政策突变的合规缓冲期设计</w:t>
      </w:r>
    </w:p>
    <w:p>
      <w:pPr>
        <w:spacing w:before="75" w:after="0"/>
      </w:pPr>
      <w:r>
        <w:rPr/>
        <w:t xml:space="preserve">三、网络安全事件的危机预案响应</w:t>
      </w:r>
    </w:p>
    <w:p>
      <w:pPr>
        <w:spacing w:before="75" w:after="0"/>
      </w:pPr>
      <w:r>
        <w:rPr>
          <w:b w:val="1"/>
          <w:bCs w:val="1"/>
        </w:rPr>
        <w:t xml:space="preserve">第二十一章 实施路线图与资源保障体系</w:t>
      </w:r>
    </w:p>
    <w:p>
      <w:pPr>
        <w:spacing w:before="75" w:after="0"/>
      </w:pPr>
      <w:r>
        <w:rPr/>
        <w:t xml:space="preserve">第一节 三阶段实施路径规划</w:t>
      </w:r>
    </w:p>
    <w:p>
      <w:pPr>
        <w:spacing w:before="75" w:after="0"/>
      </w:pPr>
      <w:r>
        <w:rPr/>
        <w:t xml:space="preserve">一、2026-2027年：数字化基础夯实期关键任务</w:t>
      </w:r>
    </w:p>
    <w:p>
      <w:pPr>
        <w:spacing w:before="75" w:after="0"/>
      </w:pPr>
      <w:r>
        <w:rPr/>
        <w:t xml:space="preserve">二、2028-2029年：智能化运营深化期目标设定</w:t>
      </w:r>
    </w:p>
    <w:p>
      <w:pPr>
        <w:spacing w:before="75" w:after="0"/>
      </w:pPr>
      <w:r>
        <w:rPr/>
        <w:t xml:space="preserve">三、2030年：生态化平台成熟期状态描述</w:t>
      </w:r>
    </w:p>
    <w:p>
      <w:pPr>
        <w:spacing w:before="75" w:after="0"/>
      </w:pPr>
      <w:r>
        <w:rPr/>
        <w:t xml:space="preserve">第二节 资源投入的配置原则</w:t>
      </w:r>
    </w:p>
    <w:p>
      <w:pPr>
        <w:spacing w:before="75" w:after="0"/>
      </w:pPr>
      <w:r>
        <w:rPr/>
        <w:t xml:space="preserve">一、技术投入占比的年度递增模型</w:t>
      </w:r>
    </w:p>
    <w:p>
      <w:pPr>
        <w:spacing w:before="75" w:after="0"/>
      </w:pPr>
      <w:r>
        <w:rPr/>
        <w:t xml:space="preserve">二、人才招聘与内部培养的资金分配</w:t>
      </w:r>
    </w:p>
    <w:p>
      <w:pPr>
        <w:spacing w:before="75" w:after="0"/>
      </w:pPr>
      <w:r>
        <w:rPr/>
        <w:t xml:space="preserve">三、创新项目容错预算的设置标准</w:t>
      </w:r>
    </w:p>
    <w:p>
      <w:pPr>
        <w:spacing w:before="75" w:after="0"/>
      </w:pPr>
      <w:r>
        <w:rPr/>
        <w:t xml:space="preserve">第三节 绩效评估与动态调整</w:t>
      </w:r>
    </w:p>
    <w:p>
      <w:pPr>
        <w:spacing w:before="75" w:after="0"/>
      </w:pPr>
      <w:r>
        <w:rPr/>
        <w:t xml:space="preserve">一、okr体系在数字化转型中的应用</w:t>
      </w:r>
    </w:p>
    <w:p>
      <w:pPr>
        <w:spacing w:before="75" w:after="0"/>
      </w:pPr>
      <w:r>
        <w:rPr/>
        <w:t xml:space="preserve">二、季度复盘机制与战略纠偏流程</w:t>
      </w:r>
    </w:p>
    <w:p>
      <w:pPr>
        <w:spacing w:before="75" w:after="0"/>
      </w:pPr>
      <w:r>
        <w:rPr/>
        <w:t xml:space="preserve">三、外部顾问与行业对标的价值</w:t>
      </w:r>
    </w:p>
    <w:p>
      <w:pPr>
        <w:spacing w:before="75" w:after="0"/>
      </w:pPr>
      <w:r>
        <w:rPr>
          <w:b w:val="1"/>
          <w:bCs w:val="1"/>
        </w:rPr>
        <w:t xml:space="preserve">第二十二章 研究结论与前瞻性展望</w:t>
      </w:r>
    </w:p>
    <w:p>
      <w:pPr>
        <w:spacing w:before="75" w:after="0"/>
      </w:pPr>
      <w:r>
        <w:rPr/>
        <w:t xml:space="preserve">第一节 核心研究发现总结</w:t>
      </w:r>
    </w:p>
    <w:p>
      <w:pPr>
        <w:spacing w:before="75" w:after="0"/>
      </w:pPr>
      <w:r>
        <w:rPr/>
        <w:t xml:space="preserve">一、商业模式创新的五大确定性趋势</w:t>
      </w:r>
    </w:p>
    <w:p>
      <w:pPr>
        <w:spacing w:before="75" w:after="0"/>
      </w:pPr>
      <w:r>
        <w:rPr/>
        <w:t xml:space="preserve">二、投资机会的优先排序逻辑</w:t>
      </w:r>
    </w:p>
    <w:p>
      <w:pPr>
        <w:spacing w:before="75" w:after="0"/>
      </w:pPr>
      <w:r>
        <w:rPr/>
        <w:t xml:space="preserve">三、行业格局演变的终局判断</w:t>
      </w:r>
    </w:p>
    <w:p>
      <w:pPr>
        <w:spacing w:before="75" w:after="0"/>
      </w:pPr>
      <w:r>
        <w:rPr/>
        <w:t xml:space="preserve">第二节 2030年后发展畅想</w:t>
      </w:r>
    </w:p>
    <w:p>
      <w:pPr>
        <w:spacing w:before="75" w:after="0"/>
      </w:pPr>
      <w:r>
        <w:rPr/>
        <w:t xml:space="preserve">一、agi对公募基金行业的颠覆性影响</w:t>
      </w:r>
    </w:p>
    <w:p>
      <w:pPr>
        <w:spacing w:before="75" w:after="0"/>
      </w:pPr>
      <w:r>
        <w:rPr/>
        <w:t xml:space="preserve">二、脑机接口在投资者风险测评中的潜在应用</w:t>
      </w:r>
    </w:p>
    <w:p>
      <w:pPr>
        <w:spacing w:before="75" w:after="0"/>
      </w:pPr>
      <w:r>
        <w:rPr/>
        <w:t xml:space="preserve">三、量子计算对投资组合优化的革命性提升</w:t>
      </w:r>
    </w:p>
    <w:p>
      <w:pPr>
        <w:spacing w:before="75" w:after="0"/>
      </w:pPr>
      <w:r>
        <w:rPr/>
        <w:t xml:space="preserve">第三节 对各类市场参与者的建议</w:t>
      </w:r>
    </w:p>
    <w:p>
      <w:pPr>
        <w:spacing w:before="75" w:after="0"/>
      </w:pPr>
      <w:r>
        <w:rPr/>
        <w:t xml:space="preserve">一、对公募基金管理人的战略建议</w:t>
      </w:r>
    </w:p>
    <w:p>
      <w:pPr>
        <w:spacing w:before="75" w:after="0"/>
      </w:pPr>
      <w:r>
        <w:rPr/>
        <w:t xml:space="preserve">二、对销售渠道的转型建议</w:t>
      </w:r>
    </w:p>
    <w:p>
      <w:pPr>
        <w:spacing w:before="75" w:after="0"/>
      </w:pPr>
      <w:r>
        <w:rPr/>
        <w:t xml:space="preserve">三、对技术服务商的发展建议</w:t>
      </w:r>
    </w:p>
    <w:p>
      <w:pPr>
        <w:spacing w:before="75" w:after="0"/>
      </w:pPr>
      <w:r>
        <w:rPr>
          <w:b w:val="1"/>
          <w:bCs w:val="1"/>
        </w:rPr>
        <w:t xml:space="preserve">图表目录</w:t>
      </w:r>
    </w:p>
    <w:p>
      <w:pPr>
        <w:spacing w:before="75" w:after="0"/>
      </w:pPr>
      <w:r>
        <w:rPr/>
        <w:t xml:space="preserve">图表：2023-2025年中国公募基金行业管理规模及互联网渠道占比趋势图</w:t>
      </w:r>
    </w:p>
    <w:p>
      <w:pPr>
        <w:spacing w:before="75" w:after="0"/>
      </w:pPr>
      <w:r>
        <w:rPr/>
        <w:t xml:space="preserve">图表：2026-2031年公募基金行业规模预测</w:t>
      </w:r>
    </w:p>
    <w:p>
      <w:pPr>
        <w:spacing w:before="75" w:after="0"/>
      </w:pPr>
      <w:r>
        <w:rPr/>
        <w:t xml:space="preserve">图表：2023-2025年互联网渠道申购量占总申购量比重变化</w:t>
      </w:r>
    </w:p>
    <w:p>
      <w:pPr>
        <w:spacing w:before="75" w:after="0"/>
      </w:pPr>
      <w:r>
        <w:rPr/>
        <w:t xml:space="preserve">图表：2025年各类销售渠道客户获取成本(cac)对比</w:t>
      </w:r>
    </w:p>
    <w:p>
      <w:pPr>
        <w:spacing w:before="75" w:after="0"/>
      </w:pPr>
      <w:r>
        <w:rPr/>
        <w:t xml:space="preserve">图表：公募基金客户净推荐值(nps)与持有周期相关性分析</w:t>
      </w:r>
    </w:p>
    <w:p>
      <w:pPr>
        <w:spacing w:before="75" w:after="0"/>
      </w:pPr>
      <w:r>
        <w:rPr/>
        <w:t xml:space="preserve">图表：2023-2025年智能投顾组合 vs 人工投顾组合风险调整后收益对比</w:t>
      </w:r>
    </w:p>
    <w:p>
      <w:pPr>
        <w:spacing w:before="75" w:after="0"/>
      </w:pPr>
      <w:r>
        <w:rPr/>
        <w:t xml:space="preserve">图表：2023-2025年基金销售费率结构变化趋势</w:t>
      </w:r>
    </w:p>
    <w:p>
      <w:pPr>
        <w:spacing w:before="75" w:after="0"/>
      </w:pPr>
      <w:r>
        <w:rPr/>
        <w:t xml:space="preserve">图表：2026-2031年投顾服务费收入规模及增速预测</w:t>
      </w:r>
    </w:p>
    <w:p>
      <w:pPr>
        <w:spacing w:before="75" w:after="0"/>
      </w:pPr>
      <w:r>
        <w:rPr/>
        <w:t xml:space="preserve">图表：2025年基金公司技术投入占营收比重分布</w:t>
      </w:r>
    </w:p>
    <w:p>
      <w:pPr>
        <w:spacing w:before="75" w:after="0"/>
      </w:pPr>
      <w:r>
        <w:rPr/>
        <w:t xml:space="preserve">图表：ai客服替代率与服务满意度</w:t>
      </w:r>
    </w:p>
    <w:p>
      <w:pPr>
        <w:spacing w:before="75" w:after="0"/>
      </w:pPr>
      <w:r>
        <w:rPr/>
        <w:t xml:space="preserve">图表：不同规模基金公司管理费率的规模经济曲线</w:t>
      </w:r>
    </w:p>
    <w:p>
      <w:pPr>
        <w:spacing w:before="75" w:after="0"/>
      </w:pPr>
      <w:r>
        <w:rPr/>
        <w:t xml:space="preserve">图表：2025年个人投资者线上首次购买基金年龄分布</w:t>
      </w:r>
    </w:p>
    <w:p>
      <w:pPr>
        <w:spacing w:before="75" w:after="0"/>
      </w:pPr>
      <w:r>
        <w:rPr/>
        <w:t xml:space="preserve">图表：移动端交易频次与平均持仓时长关系</w:t>
      </w:r>
    </w:p>
    <w:p>
      <w:pPr>
        <w:spacing w:before="75" w:after="0"/>
      </w:pPr>
      <w:r>
        <w:rPr/>
        <w:t xml:space="preserve">图表：2023-2025年esg基金产品数量及规模增速</w:t>
      </w:r>
    </w:p>
    <w:p>
      <w:pPr>
        <w:spacing w:before="75" w:after="0"/>
      </w:pPr>
      <w:r>
        <w:rPr/>
        <w:t xml:space="preserve">图表：北上广深杭vs三四线城市基金渗透率对比</w:t>
      </w:r>
    </w:p>
    <w:p>
      <w:pPr>
        <w:spacing w:before="75" w:after="0"/>
      </w:pPr>
      <w:r>
        <w:rPr/>
        <w:t xml:space="preserve">图表：2026-2031年粤港澳大湾区跨境理财通资金流动规模预测</w:t>
      </w:r>
    </w:p>
    <w:p>
      <w:pPr>
        <w:spacing w:before="75" w:after="0"/>
      </w:pPr>
      <w:r>
        <w:rPr/>
        <w:t xml:space="preserve">图表：中小基金公司技术外包vs自建成本对比分析</w:t>
      </w:r>
    </w:p>
    <w:p>
      <w:pPr>
        <w:spacing w:before="75" w:after="0"/>
      </w:pPr>
      <w:r>
        <w:rPr/>
        <w:t xml:space="preserve">图表：数据中台建设投入产出比(roi)趋势</w:t>
      </w:r>
    </w:p>
    <w:p>
      <w:pPr>
        <w:spacing w:before="75" w:after="0"/>
      </w:pPr>
      <w:r>
        <w:rPr/>
        <w:t xml:space="preserve">图表：基金公司科技人员占比与产品创新速度相关性</w:t>
      </w:r>
    </w:p>
    <w:p>
      <w:pPr>
        <w:spacing w:before="75" w:after="0"/>
      </w:pPr>
      <w:r>
        <w:rPr/>
        <w:t xml:space="preserve">图表：2026-2031年智能投顾赛道市场规模及增速预测</w:t>
      </w:r>
    </w:p>
    <w:p>
      <w:pPr>
        <w:spacing w:before="75" w:after="0"/>
      </w:pPr>
      <w:r>
        <w:rPr/>
        <w:t xml:space="preserve">图表：2025年产业链各环节价值分布</w:t>
      </w:r>
    </w:p>
    <w:p>
      <w:pPr>
        <w:spacing w:before="75" w:after="0"/>
      </w:pPr>
      <w:r>
        <w:rPr/>
        <w:t xml:space="preserve">图表：技术路线选择决策树</w:t>
      </w:r>
    </w:p>
    <w:p>
      <w:pPr>
        <w:spacing w:before="75" w:after="0"/>
      </w:pPr>
      <w:r>
        <w:rPr/>
        <w:t xml:space="preserve">图表：数字化转型三阶段实施路线图</w:t>
      </w:r>
    </w:p>
    <w:p>
      <w:pPr>
        <w:spacing w:before="75" w:after="0"/>
      </w:pPr>
      <w:r>
        <w:rPr/>
        <w:t xml:space="preserve">图表：公募基金行业商业模式创新成熟度评估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2026-2031年中国互联网＋公募证券投资基金行业商业模式创新与投资机会深度调研报告</dc:title>
  <dc:description>2026-2031年中国互联网＋公募证券投资基金行业商业模式创新与投资机会深度调研报告</dc:description>
  <dc:subject>2026-2031年中国互联网＋公募证券投资基金行业商业模式创新与投资机会深度调研报告</dc:subject>
  <cp:keywords>研究报告</cp:keywords>
  <cp:category>研究报告</cp:category>
  <cp:lastModifiedBy>北京中道泰和信息咨询有限公司</cp:lastModifiedBy>
  <dcterms:created xsi:type="dcterms:W3CDTF">2026-03-30T16:07:52+08:00</dcterms:created>
  <dcterms:modified xsi:type="dcterms:W3CDTF">2026-03-30T16:07:52+08:00</dcterms:modified>
</cp:coreProperties>
</file>

<file path=docProps/custom.xml><?xml version="1.0" encoding="utf-8"?>
<Properties xmlns="http://schemas.openxmlformats.org/officeDocument/2006/custom-properties" xmlns:vt="http://schemas.openxmlformats.org/officeDocument/2006/docPropsVTypes"/>
</file>