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2026-2031年中国算力“十五五”产业链全景调研及投资环境深度剖析报告</w:t>
      </w:r>
    </w:p>
    <w:p>
      <w:pPr>
        <w:spacing w:after="150"/>
      </w:pPr>
      <w:r>
        <w:rPr>
          <w:b w:val="1"/>
          <w:bCs w:val="1"/>
        </w:rPr>
        <w:t xml:space="preserve">报告简介</w:t>
      </w:r>
    </w:p>
    <w:p>
      <w:pPr>
        <w:spacing w:after="150"/>
      </w:pPr>
      <w:r>
        <w:rPr/>
        <w:t xml:space="preserve">在数字经济与实体经济深度融合的2026-2030年“十五五”规划周期内，算力已超越传统基础设施范畴，成为驱动全球产业变革的核心生产力要素与新型基础设施。作为支撑人工智能、大数据、物联网、区块链等前沿技术发展的底层基石，算力正以“智能氧气”形态渗透至千行百业——从自动驾驶的实时决策到工业质检的微米级精度，从金融风控的毫秒级响应到医疗影像的精准分析，其需求规模与复杂度呈现指数级增长。这一变革不仅重塑了传统产业链的价值分配逻辑，更催生出“云-边-端”协同、异构计算融合、绿色低碳转型等新范式，推动行业从“资源堆砌”向“价值创造”深度进化。</w:t>
      </w:r>
    </w:p>
    <w:p>
      <w:pPr>
        <w:spacing w:after="150"/>
      </w:pPr>
      <w:r>
        <w:rPr/>
        <w:t xml:space="preserve">从市场结构看，算力产业已形成“硬件为基、软件为核、场景为王”的立体化格局。硬件层面，通用算力(CPU)、智能算力(GPU/FPGA/ASIC)与专用算力(NPU)协同发展，支撑从训练到推理的全流程需求;软件层面，框架、算法与工具链优化提升算力利用效率，自动化调优工具与算力调度平台推动管理精细化;服务层面，公有云、私有云与混合云协同服务模式成为主流，算力即服务(CaaS)通过标准化接口实现资源按需调用，降低中小企业技术门槛。需求侧则呈现“金字塔”结构：基础模型研发驱动高端智能算力爆发，企业级AI与消费级AI拉动推理算力增长，金融、医疗、制造等垂直领域对低时延、高可靠算力的依赖度持续提升，形成差异化竞争赛道。</w:t>
      </w:r>
    </w:p>
    <w:p>
      <w:pPr>
        <w:spacing w:after="150"/>
      </w:pPr>
      <w:r>
        <w:rPr/>
        <w:t xml:space="preserve">展望 2026 年，作为“十五五”时期的起始之年，这一阶段的规划肩负着推动国民经济与社会发展迈向现代化进程的重要使命。其核心目标聚焦于强化经济结构的调整与优化，着力提升科技创新能力，并全力推进可持续发展战略的深入实施。通过“十五五”规划的有效执行，中国将加速向全面建设社会主义现代化国家的宏伟目标奋勇前行。</w:t>
      </w:r>
    </w:p>
    <w:p>
      <w:pPr>
        <w:spacing w:after="150"/>
      </w:pPr>
      <w:r>
        <w:rPr/>
        <w:t xml:space="preserve">《2026-2030年中国算力“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行业规划方向机及未来5年行业投资方向;预测并提出了算力“十五五”整体规划目标及方向、规划内容的建议等;最后，就算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算力产业概述与发展背景</w:t>
      </w:r>
    </w:p>
    <w:p>
      <w:pPr>
        <w:spacing w:before="75" w:after="0"/>
      </w:pPr>
      <w:r>
        <w:rPr/>
        <w:t xml:space="preserve">第一节 算力基本概念与核心内涵</w:t>
      </w:r>
    </w:p>
    <w:p>
      <w:pPr>
        <w:spacing w:before="75" w:after="0"/>
      </w:pPr>
      <w:r>
        <w:rPr/>
        <w:t xml:space="preserve">一、算力的定义与计量单位</w:t>
      </w:r>
    </w:p>
    <w:p>
      <w:pPr>
        <w:spacing w:before="75" w:after="0"/>
      </w:pPr>
      <w:r>
        <w:rPr/>
        <w:t xml:space="preserve">二、算力与数据、算法的协同关系</w:t>
      </w:r>
    </w:p>
    <w:p>
      <w:pPr>
        <w:spacing w:before="75" w:after="0"/>
      </w:pPr>
      <w:r>
        <w:rPr/>
        <w:t xml:space="preserve">三、算力作为新型基础设施的战略定位</w:t>
      </w:r>
    </w:p>
    <w:p>
      <w:pPr>
        <w:spacing w:before="75" w:after="0"/>
      </w:pPr>
      <w:r>
        <w:rPr/>
        <w:t xml:space="preserve">第二节 算力产业链结构解析</w:t>
      </w:r>
    </w:p>
    <w:p>
      <w:pPr>
        <w:spacing w:before="75" w:after="0"/>
      </w:pPr>
      <w:r>
        <w:rPr/>
        <w:t xml:space="preserve">一、上游分析</w:t>
      </w:r>
    </w:p>
    <w:p>
      <w:pPr>
        <w:spacing w:before="75" w:after="0"/>
      </w:pPr>
      <w:r>
        <w:rPr/>
        <w:t xml:space="preserve">二、中游分析</w:t>
      </w:r>
    </w:p>
    <w:p>
      <w:pPr>
        <w:spacing w:before="75" w:after="0"/>
      </w:pPr>
      <w:r>
        <w:rPr/>
        <w:t xml:space="preserve">三、下游分析</w:t>
      </w:r>
    </w:p>
    <w:p>
      <w:pPr>
        <w:spacing w:before="75" w:after="0"/>
      </w:pPr>
      <w:r>
        <w:rPr>
          <w:b w:val="1"/>
          <w:bCs w:val="1"/>
        </w:rPr>
        <w:t xml:space="preserve">第二章 全球算力产业发展现状</w:t>
      </w:r>
    </w:p>
    <w:p>
      <w:pPr>
        <w:spacing w:before="75" w:after="0"/>
      </w:pPr>
      <w:r>
        <w:rPr/>
        <w:t xml:space="preserve">第一节 全球算力规模与增长态势</w:t>
      </w:r>
    </w:p>
    <w:p>
      <w:pPr>
        <w:spacing w:before="75" w:after="0"/>
      </w:pPr>
      <w:r>
        <w:rPr/>
        <w:t xml:space="preserve">一、全球总算力规模(eflops级)年度变化</w:t>
      </w:r>
    </w:p>
    <w:p>
      <w:pPr>
        <w:spacing w:before="75" w:after="0"/>
      </w:pPr>
      <w:r>
        <w:rPr/>
        <w:t xml:space="preserve">二、区域算力分布格局(北美主导，亚太加速追赶)</w:t>
      </w:r>
    </w:p>
    <w:p>
      <w:pPr>
        <w:spacing w:before="75" w:after="0"/>
      </w:pPr>
      <w:r>
        <w:rPr/>
        <w:t xml:space="preserve">三、公共云与私有算力资源占比演变</w:t>
      </w:r>
    </w:p>
    <w:p>
      <w:pPr>
        <w:spacing w:before="75" w:after="0"/>
      </w:pPr>
      <w:r>
        <w:rPr/>
        <w:t xml:space="preserve">第二节 全球算力技术演进特征</w:t>
      </w:r>
    </w:p>
    <w:p>
      <w:pPr>
        <w:spacing w:before="75" w:after="0"/>
      </w:pPr>
      <w:r>
        <w:rPr/>
        <w:t xml:space="preserve">一、异构计算架构成为主流</w:t>
      </w:r>
    </w:p>
    <w:p>
      <w:pPr>
        <w:spacing w:before="75" w:after="0"/>
      </w:pPr>
      <w:r>
        <w:rPr/>
        <w:t xml:space="preserve">二、先进封装与chiplet技术提升算力密度</w:t>
      </w:r>
    </w:p>
    <w:p>
      <w:pPr>
        <w:spacing w:before="75" w:after="0"/>
      </w:pPr>
      <w:r>
        <w:rPr/>
        <w:t xml:space="preserve">三、光互联与cpo技术在高带宽场景渗透</w:t>
      </w:r>
    </w:p>
    <w:p>
      <w:pPr>
        <w:spacing w:before="75" w:after="0"/>
      </w:pPr>
      <w:r>
        <w:rPr/>
        <w:t xml:space="preserve">第三节 全球算力基础设施布局</w:t>
      </w:r>
    </w:p>
    <w:p>
      <w:pPr>
        <w:spacing w:before="75" w:after="0"/>
      </w:pPr>
      <w:r>
        <w:rPr/>
        <w:t xml:space="preserve">一、超大规模数据中心集群建设进展</w:t>
      </w:r>
    </w:p>
    <w:p>
      <w:pPr>
        <w:spacing w:before="75" w:after="0"/>
      </w:pPr>
      <w:r>
        <w:rPr/>
        <w:t xml:space="preserve">二、国家级超算中心升级计划</w:t>
      </w:r>
    </w:p>
    <w:p>
      <w:pPr>
        <w:spacing w:before="75" w:after="0"/>
      </w:pPr>
      <w:r>
        <w:rPr/>
        <w:t xml:space="preserve">三、边缘算力节点在工业与车联网中的部署密度</w:t>
      </w:r>
    </w:p>
    <w:p>
      <w:pPr>
        <w:spacing w:before="75" w:after="0"/>
      </w:pPr>
      <w:r>
        <w:rPr>
          <w:b w:val="1"/>
          <w:bCs w:val="1"/>
        </w:rPr>
        <w:t xml:space="preserve">第三章 中国算力产业发展回顾：“十四五”期间</w:t>
      </w:r>
    </w:p>
    <w:p>
      <w:pPr>
        <w:spacing w:before="75" w:after="0"/>
      </w:pPr>
      <w:r>
        <w:rPr/>
        <w:t xml:space="preserve">第一节 “十四五”期间算力规模扩张</w:t>
      </w:r>
    </w:p>
    <w:p>
      <w:pPr>
        <w:spacing w:before="75" w:after="0"/>
      </w:pPr>
      <w:r>
        <w:rPr/>
        <w:t xml:space="preserve">一、全国总算力规模突破</w:t>
      </w:r>
    </w:p>
    <w:p>
      <w:pPr>
        <w:spacing w:before="75" w:after="0"/>
      </w:pPr>
      <w:r>
        <w:rPr/>
        <w:t xml:space="preserve">二、东数西算工程对算力地理重构的影响</w:t>
      </w:r>
    </w:p>
    <w:p>
      <w:pPr>
        <w:spacing w:before="75" w:after="0"/>
      </w:pPr>
      <w:r>
        <w:rPr/>
        <w:t xml:space="preserve">三、智算中心数量与投资规模统计</w:t>
      </w:r>
    </w:p>
    <w:p>
      <w:pPr>
        <w:spacing w:before="75" w:after="0"/>
      </w:pPr>
      <w:r>
        <w:rPr/>
        <w:t xml:space="preserve">第二节 算力基础设施建设进展</w:t>
      </w:r>
    </w:p>
    <w:p>
      <w:pPr>
        <w:spacing w:before="75" w:after="0"/>
      </w:pPr>
      <w:r>
        <w:rPr/>
        <w:t xml:space="preserve">一、数据中心机架总数与上架率变化</w:t>
      </w:r>
    </w:p>
    <w:p>
      <w:pPr>
        <w:spacing w:before="75" w:after="0"/>
      </w:pPr>
      <w:r>
        <w:rPr/>
        <w:t xml:space="preserve">二、液冷、高压直流等绿色节能技术应用比例</w:t>
      </w:r>
    </w:p>
    <w:p>
      <w:pPr>
        <w:spacing w:before="75" w:after="0"/>
      </w:pPr>
      <w:r>
        <w:rPr/>
        <w:t xml:space="preserve">三、算力网络试点成效</w:t>
      </w:r>
    </w:p>
    <w:p>
      <w:pPr>
        <w:spacing w:before="75" w:after="0"/>
      </w:pPr>
      <w:r>
        <w:rPr/>
        <w:t xml:space="preserve">第三节 国产算力生态初步形成</w:t>
      </w:r>
    </w:p>
    <w:p>
      <w:pPr>
        <w:spacing w:before="75" w:after="0"/>
      </w:pPr>
      <w:r>
        <w:rPr/>
        <w:t xml:space="preserve">一、国产ai芯片出货量年均增速</w:t>
      </w:r>
    </w:p>
    <w:p>
      <w:pPr>
        <w:spacing w:before="75" w:after="0"/>
      </w:pPr>
      <w:r>
        <w:rPr/>
        <w:t xml:space="preserve">二、自主算力平台</w:t>
      </w:r>
    </w:p>
    <w:p>
      <w:pPr>
        <w:spacing w:before="75" w:after="0"/>
      </w:pPr>
      <w:r>
        <w:rPr/>
        <w:t xml:space="preserve">三、操作系统与框架对国产算力适配率提升</w:t>
      </w:r>
    </w:p>
    <w:p>
      <w:pPr>
        <w:spacing w:before="75" w:after="0"/>
      </w:pPr>
      <w:r>
        <w:rPr>
          <w:b w:val="1"/>
          <w:bCs w:val="1"/>
        </w:rPr>
        <w:t xml:space="preserve">第四章 算力产业链细分环节深度剖析</w:t>
      </w:r>
    </w:p>
    <w:p>
      <w:pPr>
        <w:spacing w:before="75" w:after="0"/>
      </w:pPr>
      <w:r>
        <w:rPr/>
        <w:t xml:space="preserve">第一节 芯片层：算力核心载体</w:t>
      </w:r>
    </w:p>
    <w:p>
      <w:pPr>
        <w:spacing w:before="75" w:after="0"/>
      </w:pPr>
      <w:r>
        <w:rPr/>
        <w:t xml:space="preserve">一、通用处理器(cpu)算力贡献度下降趋势</w:t>
      </w:r>
    </w:p>
    <w:p>
      <w:pPr>
        <w:spacing w:before="75" w:after="0"/>
      </w:pPr>
      <w:r>
        <w:rPr/>
        <w:t xml:space="preserve">二、ai加速芯片(gpu/npu/tpu)成为主力</w:t>
      </w:r>
    </w:p>
    <w:p>
      <w:pPr>
        <w:spacing w:before="75" w:after="0"/>
      </w:pPr>
      <w:r>
        <w:rPr/>
        <w:t xml:space="preserve">三、存算一体、光子芯片等前沿方向探索</w:t>
      </w:r>
    </w:p>
    <w:p>
      <w:pPr>
        <w:spacing w:before="75" w:after="0"/>
      </w:pPr>
      <w:r>
        <w:rPr/>
        <w:t xml:space="preserve">第二节 服务器与硬件层</w:t>
      </w:r>
    </w:p>
    <w:p>
      <w:pPr>
        <w:spacing w:before="75" w:after="0"/>
      </w:pPr>
      <w:r>
        <w:rPr/>
        <w:t xml:space="preserve">一、ai服务器出货量占整体服务器比重</w:t>
      </w:r>
    </w:p>
    <w:p>
      <w:pPr>
        <w:spacing w:before="75" w:after="0"/>
      </w:pPr>
      <w:r>
        <w:rPr/>
        <w:t xml:space="preserve">二、oam、ocp等开放硬件标准普及情况</w:t>
      </w:r>
    </w:p>
    <w:p>
      <w:pPr>
        <w:spacing w:before="75" w:after="0"/>
      </w:pPr>
      <w:r>
        <w:rPr/>
        <w:t xml:space="preserve">三、国产服务器品牌在算力集群中的份额</w:t>
      </w:r>
    </w:p>
    <w:p>
      <w:pPr>
        <w:spacing w:before="75" w:after="0"/>
      </w:pPr>
      <w:r>
        <w:rPr/>
        <w:t xml:space="preserve">第三节 数据中心与算力设施层</w:t>
      </w:r>
    </w:p>
    <w:p>
      <w:pPr>
        <w:spacing w:before="75" w:after="0"/>
      </w:pPr>
      <w:r>
        <w:rPr/>
        <w:t xml:space="preserve">一、传统idc向智算中心转型路径</w:t>
      </w:r>
    </w:p>
    <w:p>
      <w:pPr>
        <w:spacing w:before="75" w:after="0"/>
      </w:pPr>
      <w:r>
        <w:rPr/>
        <w:t xml:space="preserve">二、算力调度平台功能演进</w:t>
      </w:r>
    </w:p>
    <w:p>
      <w:pPr>
        <w:spacing w:before="75" w:after="0"/>
      </w:pPr>
      <w:r>
        <w:rPr/>
        <w:t xml:space="preserve">三、边缘算力节点在5g+工业互联网中的部署模式</w:t>
      </w:r>
    </w:p>
    <w:p>
      <w:pPr>
        <w:spacing w:before="75" w:after="0"/>
      </w:pPr>
      <w:r>
        <w:rPr/>
        <w:t xml:space="preserve">第四节 软件与平台层</w:t>
      </w:r>
    </w:p>
    <w:p>
      <w:pPr>
        <w:spacing w:before="75" w:after="0"/>
      </w:pPr>
      <w:r>
        <w:rPr/>
        <w:t xml:space="preserve">一、算力虚拟化与容器化技术成熟度</w:t>
      </w:r>
    </w:p>
    <w:p>
      <w:pPr>
        <w:spacing w:before="75" w:after="0"/>
      </w:pPr>
      <w:r>
        <w:rPr/>
        <w:t xml:space="preserve">二、跨地域算力调度与计费系统建设</w:t>
      </w:r>
    </w:p>
    <w:p>
      <w:pPr>
        <w:spacing w:before="75" w:after="0"/>
      </w:pPr>
      <w:r>
        <w:rPr/>
        <w:t xml:space="preserve">三、mlops平台对算力利用率的优化作用</w:t>
      </w:r>
    </w:p>
    <w:p>
      <w:pPr>
        <w:spacing w:before="75" w:after="0"/>
      </w:pPr>
      <w:r>
        <w:rPr>
          <w:b w:val="1"/>
          <w:bCs w:val="1"/>
        </w:rPr>
        <w:t xml:space="preserve">第五章 算力应用场景需求分析</w:t>
      </w:r>
    </w:p>
    <w:p>
      <w:pPr>
        <w:spacing w:before="75" w:after="0"/>
      </w:pPr>
      <w:r>
        <w:rPr/>
        <w:t xml:space="preserve">第一节 人工智能大模型训练与推理</w:t>
      </w:r>
    </w:p>
    <w:p>
      <w:pPr>
        <w:spacing w:before="75" w:after="0"/>
      </w:pPr>
      <w:r>
        <w:rPr/>
        <w:t xml:space="preserve">一、千亿参数模型对算力集群规模要求</w:t>
      </w:r>
    </w:p>
    <w:p>
      <w:pPr>
        <w:spacing w:before="75" w:after="0"/>
      </w:pPr>
      <w:r>
        <w:rPr/>
        <w:t xml:space="preserve">二、推理端轻量化算力需求爆发</w:t>
      </w:r>
    </w:p>
    <w:p>
      <w:pPr>
        <w:spacing w:before="75" w:after="0"/>
      </w:pPr>
      <w:r>
        <w:rPr/>
        <w:t xml:space="preserve">三、moe架构对稀疏算力调度的新挑战</w:t>
      </w:r>
    </w:p>
    <w:p>
      <w:pPr>
        <w:spacing w:before="75" w:after="0"/>
      </w:pPr>
      <w:r>
        <w:rPr/>
        <w:t xml:space="preserve">第二节 科学计算与高性能计算</w:t>
      </w:r>
    </w:p>
    <w:p>
      <w:pPr>
        <w:spacing w:before="75" w:after="0"/>
      </w:pPr>
      <w:r>
        <w:rPr/>
        <w:t xml:space="preserve">一、气候模拟、核聚变、生物医药等领域算力消耗</w:t>
      </w:r>
    </w:p>
    <w:p>
      <w:pPr>
        <w:spacing w:before="75" w:after="0"/>
      </w:pPr>
      <w:r>
        <w:rPr/>
        <w:t xml:space="preserve">二、国产超算在top500榜单中的表现</w:t>
      </w:r>
    </w:p>
    <w:p>
      <w:pPr>
        <w:spacing w:before="75" w:after="0"/>
      </w:pPr>
      <w:r>
        <w:rPr/>
        <w:t xml:space="preserve">三、混合精度计算在hpc中的应用比例</w:t>
      </w:r>
    </w:p>
    <w:p>
      <w:pPr>
        <w:spacing w:before="75" w:after="0"/>
      </w:pPr>
      <w:r>
        <w:rPr/>
        <w:t xml:space="preserve">第三节 智能制造与工业数字孪生</w:t>
      </w:r>
    </w:p>
    <w:p>
      <w:pPr>
        <w:spacing w:before="75" w:after="0"/>
      </w:pPr>
      <w:r>
        <w:rPr/>
        <w:t xml:space="preserve">一、工厂级边缘算力节点部署密度</w:t>
      </w:r>
    </w:p>
    <w:p>
      <w:pPr>
        <w:spacing w:before="75" w:after="0"/>
      </w:pPr>
      <w:r>
        <w:rPr/>
        <w:t xml:space="preserve">二、实时控制对低延迟算力的需求</w:t>
      </w:r>
    </w:p>
    <w:p>
      <w:pPr>
        <w:spacing w:before="75" w:after="0"/>
      </w:pPr>
      <w:r>
        <w:rPr/>
        <w:t xml:space="preserve">三、数字孪生仿真对gpu渲染算力依赖</w:t>
      </w:r>
    </w:p>
    <w:p>
      <w:pPr>
        <w:spacing w:before="75" w:after="0"/>
      </w:pPr>
      <w:r>
        <w:rPr/>
        <w:t xml:space="preserve">第四节 自动驾驶与智能交通</w:t>
      </w:r>
    </w:p>
    <w:p>
      <w:pPr>
        <w:spacing w:before="75" w:after="0"/>
      </w:pPr>
      <w:r>
        <w:rPr/>
        <w:t xml:space="preserve">一、l4级自动驾驶单车算力需求(tops级)</w:t>
      </w:r>
    </w:p>
    <w:p>
      <w:pPr>
        <w:spacing w:before="75" w:after="0"/>
      </w:pPr>
      <w:r>
        <w:rPr/>
        <w:t xml:space="preserve">二、车路协同对边缘算力池化要求</w:t>
      </w:r>
    </w:p>
    <w:p>
      <w:pPr>
        <w:spacing w:before="75" w:after="0"/>
      </w:pPr>
      <w:r>
        <w:rPr/>
        <w:t xml:space="preserve">三、高精地图更新对云端算力弹性需求</w:t>
      </w:r>
    </w:p>
    <w:p>
      <w:pPr>
        <w:spacing w:before="75" w:after="0"/>
      </w:pPr>
      <w:r>
        <w:rPr/>
        <w:t xml:space="preserve">第五节 金融科技与元宇宙</w:t>
      </w:r>
    </w:p>
    <w:p>
      <w:pPr>
        <w:spacing w:before="75" w:after="0"/>
      </w:pPr>
      <w:r>
        <w:rPr/>
        <w:t xml:space="preserve">一、高频交易对低延迟cpu算力偏好</w:t>
      </w:r>
    </w:p>
    <w:p>
      <w:pPr>
        <w:spacing w:before="75" w:after="0"/>
      </w:pPr>
      <w:r>
        <w:rPr/>
        <w:t xml:space="preserve">二、虚拟人渲染对图形算力消耗激增</w:t>
      </w:r>
    </w:p>
    <w:p>
      <w:pPr>
        <w:spacing w:before="75" w:after="0"/>
      </w:pPr>
      <w:r>
        <w:rPr/>
        <w:t xml:space="preserve">三、区块链共识机制对专用算力影响减弱</w:t>
      </w:r>
    </w:p>
    <w:p>
      <w:pPr>
        <w:spacing w:before="75" w:after="0"/>
      </w:pPr>
      <w:r>
        <w:rPr>
          <w:b w:val="1"/>
          <w:bCs w:val="1"/>
        </w:rPr>
        <w:t xml:space="preserve">第六章 算力市场容量与供需格局</w:t>
      </w:r>
    </w:p>
    <w:p>
      <w:pPr>
        <w:spacing w:before="75" w:after="0"/>
      </w:pPr>
      <w:r>
        <w:rPr/>
        <w:t xml:space="preserve">第一节 全球算力市场容量测算</w:t>
      </w:r>
    </w:p>
    <w:p>
      <w:pPr>
        <w:spacing w:before="75" w:after="0"/>
      </w:pPr>
      <w:r>
        <w:rPr/>
        <w:t xml:space="preserve">一、按算力类型划分(ai算力、通用算力、hpc算力)</w:t>
      </w:r>
    </w:p>
    <w:p>
      <w:pPr>
        <w:spacing w:before="75" w:after="0"/>
      </w:pPr>
      <w:r>
        <w:rPr/>
        <w:t xml:space="preserve">二、按交付模式划分(公有云、私有云、混合部署)</w:t>
      </w:r>
    </w:p>
    <w:p>
      <w:pPr>
        <w:spacing w:before="75" w:after="0"/>
      </w:pPr>
      <w:r>
        <w:rPr/>
        <w:t xml:space="preserve">三、高端算力与中低端算力供需缺口</w:t>
      </w:r>
    </w:p>
    <w:p>
      <w:pPr>
        <w:spacing w:before="75" w:after="0"/>
      </w:pPr>
      <w:r>
        <w:rPr/>
        <w:t xml:space="preserve">第二节 中国市场容量特征</w:t>
      </w:r>
    </w:p>
    <w:p>
      <w:pPr>
        <w:spacing w:before="75" w:after="0"/>
      </w:pPr>
      <w:r>
        <w:rPr/>
        <w:t xml:space="preserve">一、政府与国企成为国产算力主要采购方</w:t>
      </w:r>
    </w:p>
    <w:p>
      <w:pPr>
        <w:spacing w:before="75" w:after="0"/>
      </w:pPr>
      <w:r>
        <w:rPr/>
        <w:t xml:space="preserve">二、互联网厂商算力自研与外采策略分化</w:t>
      </w:r>
    </w:p>
    <w:p>
      <w:pPr>
        <w:spacing w:before="75" w:after="0"/>
      </w:pPr>
      <w:r>
        <w:rPr/>
        <w:t xml:space="preserve">三、中小企业通过算力租赁获取资源比例上升</w:t>
      </w:r>
    </w:p>
    <w:p>
      <w:pPr>
        <w:spacing w:before="75" w:after="0"/>
      </w:pPr>
      <w:r>
        <w:rPr/>
        <w:t xml:space="preserve">第三节 供需矛盾与瓶颈分析</w:t>
      </w:r>
    </w:p>
    <w:p>
      <w:pPr>
        <w:spacing w:before="75" w:after="0"/>
      </w:pPr>
      <w:r>
        <w:rPr/>
        <w:t xml:space="preserve">一、高端ai芯片供应受限导致算力“卡脖子”</w:t>
      </w:r>
    </w:p>
    <w:p>
      <w:pPr>
        <w:spacing w:before="75" w:after="0"/>
      </w:pPr>
      <w:r>
        <w:rPr/>
        <w:t xml:space="preserve">二、电力与土地资源制约数据中心扩张</w:t>
      </w:r>
    </w:p>
    <w:p>
      <w:pPr>
        <w:spacing w:before="75" w:after="0"/>
      </w:pPr>
      <w:r>
        <w:rPr/>
        <w:t xml:space="preserve">三、算力调度软件滞后于硬件部署速度</w:t>
      </w:r>
    </w:p>
    <w:p>
      <w:pPr>
        <w:spacing w:before="75" w:after="0"/>
      </w:pPr>
      <w:r>
        <w:rPr>
          <w:b w:val="1"/>
          <w:bCs w:val="1"/>
        </w:rPr>
        <w:t xml:space="preserve">第七章 算力产业竞争格局分析</w:t>
      </w:r>
    </w:p>
    <w:p>
      <w:pPr>
        <w:spacing w:before="75" w:after="0"/>
      </w:pPr>
      <w:r>
        <w:rPr/>
        <w:t xml:space="preserve">第一节 全球竞争格局</w:t>
      </w:r>
    </w:p>
    <w:p>
      <w:pPr>
        <w:spacing w:before="75" w:after="0"/>
      </w:pPr>
      <w:r>
        <w:rPr/>
        <w:t xml:space="preserve">一、美国企业主导高端算力生态(nvidia、amd、intel)</w:t>
      </w:r>
    </w:p>
    <w:p>
      <w:pPr>
        <w:spacing w:before="75" w:after="0"/>
      </w:pPr>
      <w:r>
        <w:rPr/>
        <w:t xml:space="preserve">二、云计算巨头(aws、azure、google cloud)构建闭环算力服务</w:t>
      </w:r>
    </w:p>
    <w:p>
      <w:pPr>
        <w:spacing w:before="75" w:after="0"/>
      </w:pPr>
      <w:r>
        <w:rPr/>
        <w:t xml:space="preserve">三、开源硬件与risc-v阵营对传统架构的挑战</w:t>
      </w:r>
    </w:p>
    <w:p>
      <w:pPr>
        <w:spacing w:before="75" w:after="0"/>
      </w:pPr>
      <w:r>
        <w:rPr/>
        <w:t xml:space="preserve">第二节 中国竞争格局</w:t>
      </w:r>
    </w:p>
    <w:p>
      <w:pPr>
        <w:spacing w:before="75" w:after="0"/>
      </w:pPr>
      <w:r>
        <w:rPr/>
        <w:t xml:space="preserve">一、国产算力“国家队”</w:t>
      </w:r>
    </w:p>
    <w:p>
      <w:pPr>
        <w:spacing w:before="75" w:after="0"/>
      </w:pPr>
      <w:r>
        <w:rPr/>
        <w:t xml:space="preserve">二、整机厂向算力服务商转型</w:t>
      </w:r>
    </w:p>
    <w:p>
      <w:pPr>
        <w:spacing w:before="75" w:after="0"/>
      </w:pPr>
      <w:r>
        <w:rPr/>
        <w:t xml:space="preserve">三、运营商布局算力网络</w:t>
      </w:r>
    </w:p>
    <w:p>
      <w:pPr>
        <w:spacing w:before="75" w:after="0"/>
      </w:pPr>
      <w:r>
        <w:rPr/>
        <w:t xml:space="preserve">第三节 竞争关键维度</w:t>
      </w:r>
    </w:p>
    <w:p>
      <w:pPr>
        <w:spacing w:before="75" w:after="0"/>
      </w:pPr>
      <w:r>
        <w:rPr/>
        <w:t xml:space="preserve">一、硬件性能与能效比</w:t>
      </w:r>
    </w:p>
    <w:p>
      <w:pPr>
        <w:spacing w:before="75" w:after="0"/>
      </w:pPr>
      <w:r>
        <w:rPr/>
        <w:t xml:space="preserve">二、软件生态兼容性与开发者友好度</w:t>
      </w:r>
    </w:p>
    <w:p>
      <w:pPr>
        <w:spacing w:before="75" w:after="0"/>
      </w:pPr>
      <w:r>
        <w:rPr/>
        <w:t xml:space="preserve">三、全栈交付能力与运维服务体系</w:t>
      </w:r>
    </w:p>
    <w:p>
      <w:pPr>
        <w:spacing w:before="75" w:after="0"/>
      </w:pPr>
      <w:r>
        <w:rPr>
          <w:b w:val="1"/>
          <w:bCs w:val="1"/>
        </w:rPr>
        <w:t xml:space="preserve">第八章 中国算力产业十大重点企业案例分析</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中科曙光信息产业股份有限公司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寒武纪科技股份有限公司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浪潮电子信息产业股份有限公司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曙光智算科技有限公司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阿里巴巴集团控股有限公司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腾讯控股有限公司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百度集团股份有限公司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天数智芯(上海)科技有限公司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摩尔线程智能科技(北京)有限责任公司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第九章 算力上游供应链安全评估</w:t>
      </w:r>
    </w:p>
    <w:p>
      <w:pPr>
        <w:spacing w:before="75" w:after="0"/>
      </w:pPr>
      <w:r>
        <w:rPr/>
        <w:t xml:space="preserve">第一节 芯片制造与先进制程</w:t>
      </w:r>
    </w:p>
    <w:p>
      <w:pPr>
        <w:spacing w:before="75" w:after="0"/>
      </w:pPr>
      <w:r>
        <w:rPr/>
        <w:t xml:space="preserve">一、7nm以下先进制程对高端算力芯片的必要性</w:t>
      </w:r>
    </w:p>
    <w:p>
      <w:pPr>
        <w:spacing w:before="75" w:after="0"/>
      </w:pPr>
      <w:r>
        <w:rPr/>
        <w:t xml:space="preserve">二、中芯国际、华虹在算力芯片代工中的角色</w:t>
      </w:r>
    </w:p>
    <w:p>
      <w:pPr>
        <w:spacing w:before="75" w:after="0"/>
      </w:pPr>
      <w:r>
        <w:rPr/>
        <w:t xml:space="preserve">三、美国出口管制对供应链稳定性影响</w:t>
      </w:r>
    </w:p>
    <w:p>
      <w:pPr>
        <w:spacing w:before="75" w:after="0"/>
      </w:pPr>
      <w:r>
        <w:rPr/>
        <w:t xml:space="preserve">第二节 关键材料与设备</w:t>
      </w:r>
    </w:p>
    <w:p>
      <w:pPr>
        <w:spacing w:before="75" w:after="0"/>
      </w:pPr>
      <w:r>
        <w:rPr/>
        <w:t xml:space="preserve">一、光刻胶、硅片、铜互连材料国产化率</w:t>
      </w:r>
    </w:p>
    <w:p>
      <w:pPr>
        <w:spacing w:before="75" w:after="0"/>
      </w:pPr>
      <w:r>
        <w:rPr/>
        <w:t xml:space="preserve">二、刻蚀、薄膜沉积、量测设备进口依赖度</w:t>
      </w:r>
    </w:p>
    <w:p>
      <w:pPr>
        <w:spacing w:before="75" w:after="0"/>
      </w:pPr>
      <w:r>
        <w:rPr/>
        <w:t xml:space="preserve">三、供应链多元化策略实施进展</w:t>
      </w:r>
    </w:p>
    <w:p>
      <w:pPr>
        <w:spacing w:before="75" w:after="0"/>
      </w:pPr>
      <w:r>
        <w:rPr/>
        <w:t xml:space="preserve">第三节 ip核与eda工具</w:t>
      </w:r>
    </w:p>
    <w:p>
      <w:pPr>
        <w:spacing w:before="75" w:after="0"/>
      </w:pPr>
      <w:r>
        <w:rPr/>
        <w:t xml:space="preserve">一、arm、imagination等ip授权风险</w:t>
      </w:r>
    </w:p>
    <w:p>
      <w:pPr>
        <w:spacing w:before="75" w:after="0"/>
      </w:pPr>
      <w:r>
        <w:rPr/>
        <w:t xml:space="preserve">二、华大九天、概伦电子等国产eda对算力芯片支持能力</w:t>
      </w:r>
    </w:p>
    <w:p>
      <w:pPr>
        <w:spacing w:before="75" w:after="0"/>
      </w:pPr>
      <w:r>
        <w:rPr/>
        <w:t xml:space="preserve">三、开源risc-v在算力芯片中的可行性</w:t>
      </w:r>
    </w:p>
    <w:p>
      <w:pPr>
        <w:spacing w:before="75" w:after="0"/>
      </w:pPr>
      <w:r>
        <w:rPr>
          <w:b w:val="1"/>
          <w:bCs w:val="1"/>
        </w:rPr>
        <w:t xml:space="preserve">第十章 算力软件生态与标准化进程</w:t>
      </w:r>
    </w:p>
    <w:p>
      <w:pPr>
        <w:spacing w:before="75" w:after="0"/>
      </w:pPr>
      <w:r>
        <w:rPr/>
        <w:t xml:space="preserve">第一节 算力调度与虚拟化</w:t>
      </w:r>
    </w:p>
    <w:p>
      <w:pPr>
        <w:spacing w:before="75" w:after="0"/>
      </w:pPr>
      <w:r>
        <w:rPr/>
        <w:t xml:space="preserve">一、kubernetes对gpu资源调度优化</w:t>
      </w:r>
    </w:p>
    <w:p>
      <w:pPr>
        <w:spacing w:before="75" w:after="0"/>
      </w:pPr>
      <w:r>
        <w:rPr/>
        <w:t xml:space="preserve">二、算力切分(mig、vgpu)技术普及率</w:t>
      </w:r>
    </w:p>
    <w:p>
      <w:pPr>
        <w:spacing w:before="75" w:after="0"/>
      </w:pPr>
      <w:r>
        <w:rPr/>
        <w:t xml:space="preserve">三、跨云算力调度协议进展</w:t>
      </w:r>
    </w:p>
    <w:p>
      <w:pPr>
        <w:spacing w:before="75" w:after="0"/>
      </w:pPr>
      <w:r>
        <w:rPr/>
        <w:t xml:space="preserve">第二节 编程框架与编译器</w:t>
      </w:r>
    </w:p>
    <w:p>
      <w:pPr>
        <w:spacing w:before="75" w:after="0"/>
      </w:pPr>
      <w:r>
        <w:rPr/>
        <w:t xml:space="preserve">一、cuda生态垄断地位与替代方案</w:t>
      </w:r>
    </w:p>
    <w:p>
      <w:pPr>
        <w:spacing w:before="75" w:after="0"/>
      </w:pPr>
      <w:r>
        <w:rPr/>
        <w:t xml:space="preserve">二、国产框架对多芯片支持</w:t>
      </w:r>
    </w:p>
    <w:p>
      <w:pPr>
        <w:spacing w:before="75" w:after="0"/>
      </w:pPr>
      <w:r>
        <w:rPr/>
        <w:t xml:space="preserve">三、ai编译器降低硬件绑定</w:t>
      </w:r>
    </w:p>
    <w:p>
      <w:pPr>
        <w:spacing w:before="75" w:after="0"/>
      </w:pPr>
      <w:r>
        <w:rPr/>
        <w:t xml:space="preserve">第三节 行业标准与互操作性</w:t>
      </w:r>
    </w:p>
    <w:p>
      <w:pPr>
        <w:spacing w:before="75" w:after="0"/>
      </w:pPr>
      <w:r>
        <w:rPr/>
        <w:t xml:space="preserve">一、中国算力互联互通标准制定进展</w:t>
      </w:r>
    </w:p>
    <w:p>
      <w:pPr>
        <w:spacing w:before="75" w:after="0"/>
      </w:pPr>
      <w:r>
        <w:rPr/>
        <w:t xml:space="preserve">二、ocp、odcc等开放组织对硬件规范影响</w:t>
      </w:r>
    </w:p>
    <w:p>
      <w:pPr>
        <w:spacing w:before="75" w:after="0"/>
      </w:pPr>
      <w:r>
        <w:rPr/>
        <w:t xml:space="preserve">三、算力计量与计费标准缺失问题</w:t>
      </w:r>
    </w:p>
    <w:p>
      <w:pPr>
        <w:spacing w:before="75" w:after="0"/>
      </w:pPr>
      <w:r>
        <w:rPr>
          <w:b w:val="1"/>
          <w:bCs w:val="1"/>
        </w:rPr>
        <w:t xml:space="preserve">第十一章 算力产业投融资与并购动态</w:t>
      </w:r>
    </w:p>
    <w:p>
      <w:pPr>
        <w:spacing w:before="75" w:after="0"/>
      </w:pPr>
      <w:r>
        <w:rPr/>
        <w:t xml:space="preserve">第一节 全球投融资热点</w:t>
      </w:r>
    </w:p>
    <w:p>
      <w:pPr>
        <w:spacing w:before="75" w:after="0"/>
      </w:pPr>
      <w:r>
        <w:rPr/>
        <w:t xml:space="preserve">一、ai算力芯片初创企业融资高峰</w:t>
      </w:r>
    </w:p>
    <w:p>
      <w:pPr>
        <w:spacing w:before="75" w:after="0"/>
      </w:pPr>
      <w:r>
        <w:rPr/>
        <w:t xml:space="preserve">二、云计算厂商并购边缘算力平台趋势</w:t>
      </w:r>
    </w:p>
    <w:p>
      <w:pPr>
        <w:spacing w:before="75" w:after="0"/>
      </w:pPr>
      <w:r>
        <w:rPr/>
        <w:t xml:space="preserve">三、ipo退出通道收紧对估值影响</w:t>
      </w:r>
    </w:p>
    <w:p>
      <w:pPr>
        <w:spacing w:before="75" w:after="0"/>
      </w:pPr>
      <w:r>
        <w:rPr/>
        <w:t xml:space="preserve">第二节 中国资本流向</w:t>
      </w:r>
    </w:p>
    <w:p>
      <w:pPr>
        <w:spacing w:before="75" w:after="0"/>
      </w:pPr>
      <w:r>
        <w:rPr/>
        <w:t xml:space="preserve">一、国家大基金三期对算力芯片投资方向</w:t>
      </w:r>
    </w:p>
    <w:p>
      <w:pPr>
        <w:spacing w:before="75" w:after="0"/>
      </w:pPr>
      <w:r>
        <w:rPr/>
        <w:t xml:space="preserve">二、地方产业基金聚焦智算中心建设</w:t>
      </w:r>
    </w:p>
    <w:p>
      <w:pPr>
        <w:spacing w:before="75" w:after="0"/>
      </w:pPr>
      <w:r>
        <w:rPr/>
        <w:t xml:space="preserve">三、vc/pe对软件层关注度提升</w:t>
      </w:r>
    </w:p>
    <w:p>
      <w:pPr>
        <w:spacing w:before="75" w:after="0"/>
      </w:pPr>
      <w:r>
        <w:rPr/>
        <w:t xml:space="preserve">第三节 投资逻辑演变</w:t>
      </w:r>
    </w:p>
    <w:p>
      <w:pPr>
        <w:spacing w:before="75" w:after="0"/>
      </w:pPr>
      <w:r>
        <w:rPr/>
        <w:t xml:space="preserve">一、从“硬件性能”转向“全栈交付能力”</w:t>
      </w:r>
    </w:p>
    <w:p>
      <w:pPr>
        <w:spacing w:before="75" w:after="0"/>
      </w:pPr>
      <w:r>
        <w:rPr/>
        <w:t xml:space="preserve">二、生态壁垒成为估值核心因子</w:t>
      </w:r>
    </w:p>
    <w:p>
      <w:pPr>
        <w:spacing w:before="75" w:after="0"/>
      </w:pPr>
      <w:r>
        <w:rPr/>
        <w:t xml:space="preserve">三、地缘政治风险纳入尽调必选项</w:t>
      </w:r>
    </w:p>
    <w:p>
      <w:pPr>
        <w:spacing w:before="75" w:after="0"/>
      </w:pPr>
      <w:r>
        <w:rPr>
          <w:b w:val="1"/>
          <w:bCs w:val="1"/>
        </w:rPr>
        <w:t xml:space="preserve">第十二章 2026-2031年“十五五”期间算力技术趋势预测</w:t>
      </w:r>
    </w:p>
    <w:p>
      <w:pPr>
        <w:spacing w:before="75" w:after="0"/>
      </w:pPr>
      <w:r>
        <w:rPr/>
        <w:t xml:space="preserve">第一节 架构创新方向</w:t>
      </w:r>
    </w:p>
    <w:p>
      <w:pPr>
        <w:spacing w:before="75" w:after="0"/>
      </w:pPr>
      <w:r>
        <w:rPr/>
        <w:t xml:space="preserve">一、chiplet多芯粒集成成为高端算力标配</w:t>
      </w:r>
    </w:p>
    <w:p>
      <w:pPr>
        <w:spacing w:before="75" w:after="0"/>
      </w:pPr>
      <w:r>
        <w:rPr/>
        <w:t xml:space="preserve">二、存算一体芯片在推理场景规模化应用</w:t>
      </w:r>
    </w:p>
    <w:p>
      <w:pPr>
        <w:spacing w:before="75" w:after="0"/>
      </w:pPr>
      <w:r>
        <w:rPr/>
        <w:t xml:space="preserve">三、光子计算在特定hpc场景试点</w:t>
      </w:r>
    </w:p>
    <w:p>
      <w:pPr>
        <w:spacing w:before="75" w:after="0"/>
      </w:pPr>
      <w:r>
        <w:rPr/>
        <w:t xml:space="preserve">第二节 能效与可持续发展</w:t>
      </w:r>
    </w:p>
    <w:p>
      <w:pPr>
        <w:spacing w:before="75" w:after="0"/>
      </w:pPr>
      <w:r>
        <w:rPr/>
        <w:t xml:space="preserve">一、每瓦特算力目标值设定</w:t>
      </w:r>
    </w:p>
    <w:p>
      <w:pPr>
        <w:spacing w:before="75" w:after="0"/>
      </w:pPr>
      <w:r>
        <w:rPr/>
        <w:t xml:space="preserve">二、液冷数据中心渗透率</w:t>
      </w:r>
    </w:p>
    <w:p>
      <w:pPr>
        <w:spacing w:before="75" w:after="0"/>
      </w:pPr>
      <w:r>
        <w:rPr/>
        <w:t xml:space="preserve">三、绿电+算力一体化园区模式推广</w:t>
      </w:r>
    </w:p>
    <w:p>
      <w:pPr>
        <w:spacing w:before="75" w:after="0"/>
      </w:pPr>
      <w:r>
        <w:rPr/>
        <w:t xml:space="preserve">第三节 算力网络与泛在化</w:t>
      </w:r>
    </w:p>
    <w:p>
      <w:pPr>
        <w:spacing w:before="75" w:after="0"/>
      </w:pPr>
      <w:r>
        <w:rPr/>
        <w:t xml:space="preserve">一、算力像水电一样“即取即用”愿景实现路径</w:t>
      </w:r>
    </w:p>
    <w:p>
      <w:pPr>
        <w:spacing w:before="75" w:after="0"/>
      </w:pPr>
      <w:r>
        <w:rPr/>
        <w:t xml:space="preserve">二、6g+算力融合催生空天地一体化算力网</w:t>
      </w:r>
    </w:p>
    <w:p>
      <w:pPr>
        <w:spacing w:before="75" w:after="0"/>
      </w:pPr>
      <w:r>
        <w:rPr/>
        <w:t xml:space="preserve">三、个人终端本地算力(端侧ai)占比提升</w:t>
      </w:r>
    </w:p>
    <w:p>
      <w:pPr>
        <w:spacing w:before="75" w:after="0"/>
      </w:pPr>
      <w:r>
        <w:rPr>
          <w:b w:val="1"/>
          <w:bCs w:val="1"/>
        </w:rPr>
        <w:t xml:space="preserve">第十三章 2026-2031年中国算力市场预测</w:t>
      </w:r>
    </w:p>
    <w:p>
      <w:pPr>
        <w:spacing w:before="75" w:after="0"/>
      </w:pPr>
      <w:r>
        <w:rPr/>
        <w:t xml:space="preserve">第一节 市场规模与结构预测</w:t>
      </w:r>
    </w:p>
    <w:p>
      <w:pPr>
        <w:spacing w:before="75" w:after="0"/>
      </w:pPr>
      <w:r>
        <w:rPr/>
        <w:t xml:space="preserve">一、总算力规模年均复合增长率</w:t>
      </w:r>
    </w:p>
    <w:p>
      <w:pPr>
        <w:spacing w:before="75" w:after="0"/>
      </w:pPr>
      <w:r>
        <w:rPr/>
        <w:t xml:space="preserve">二、ai算力占比从40%提升至70%</w:t>
      </w:r>
    </w:p>
    <w:p>
      <w:pPr>
        <w:spacing w:before="75" w:after="0"/>
      </w:pPr>
      <w:r>
        <w:rPr/>
        <w:t xml:space="preserve">三、国产算力市占率突破50%情景分析</w:t>
      </w:r>
    </w:p>
    <w:p>
      <w:pPr>
        <w:spacing w:before="75" w:after="0"/>
      </w:pPr>
      <w:r>
        <w:rPr/>
        <w:t xml:space="preserve">第二节 区域布局预测</w:t>
      </w:r>
    </w:p>
    <w:p>
      <w:pPr>
        <w:spacing w:before="75" w:after="0"/>
      </w:pPr>
      <w:r>
        <w:rPr/>
        <w:t xml:space="preserve">一、八大算力枢纽集群效应强化</w:t>
      </w:r>
    </w:p>
    <w:p>
      <w:pPr>
        <w:spacing w:before="75" w:after="0"/>
      </w:pPr>
      <w:r>
        <w:rPr/>
        <w:t xml:space="preserve">二、西部地区绿电算力成本优势凸显</w:t>
      </w:r>
    </w:p>
    <w:p>
      <w:pPr>
        <w:spacing w:before="75" w:after="0"/>
      </w:pPr>
      <w:r>
        <w:rPr/>
        <w:t xml:space="preserve">三、京津冀、长三角算力协同机制完善</w:t>
      </w:r>
    </w:p>
    <w:p>
      <w:pPr>
        <w:spacing w:before="75" w:after="0"/>
      </w:pPr>
      <w:r>
        <w:rPr/>
        <w:t xml:space="preserve">第三节 客户结构演变</w:t>
      </w:r>
    </w:p>
    <w:p>
      <w:pPr>
        <w:spacing w:before="75" w:after="0"/>
      </w:pPr>
      <w:r>
        <w:rPr/>
        <w:t xml:space="preserve">一、政府与国企采购占比</w:t>
      </w:r>
    </w:p>
    <w:p>
      <w:pPr>
        <w:spacing w:before="75" w:after="0"/>
      </w:pPr>
      <w:r>
        <w:rPr/>
        <w:t xml:space="preserve">二、互联网厂商转向“自研+租赁”混合模式</w:t>
      </w:r>
    </w:p>
    <w:p>
      <w:pPr>
        <w:spacing w:before="75" w:after="0"/>
      </w:pPr>
      <w:r>
        <w:rPr/>
        <w:t xml:space="preserve">三、制造业企业算力支出年均增长</w:t>
      </w:r>
    </w:p>
    <w:p>
      <w:pPr>
        <w:spacing w:before="75" w:after="0"/>
      </w:pPr>
      <w:r>
        <w:rPr>
          <w:b w:val="1"/>
          <w:bCs w:val="1"/>
        </w:rPr>
        <w:t xml:space="preserve">第十四章 2026-2031年全球算力市场预测</w:t>
      </w:r>
    </w:p>
    <w:p>
      <w:pPr>
        <w:spacing w:before="75" w:after="0"/>
      </w:pPr>
      <w:r>
        <w:rPr/>
        <w:t xml:space="preserve">第一节 全球算力规模与格局</w:t>
      </w:r>
    </w:p>
    <w:p>
      <w:pPr>
        <w:spacing w:before="75" w:after="0"/>
      </w:pPr>
      <w:r>
        <w:rPr/>
        <w:t xml:space="preserve">一、全球总算力进入zettaflops时代</w:t>
      </w:r>
    </w:p>
    <w:p>
      <w:pPr>
        <w:spacing w:before="75" w:after="0"/>
      </w:pPr>
      <w:r>
        <w:rPr/>
        <w:t xml:space="preserve">二、中美欧三极算力生态并行发展</w:t>
      </w:r>
    </w:p>
    <w:p>
      <w:pPr>
        <w:spacing w:before="75" w:after="0"/>
      </w:pPr>
      <w:r>
        <w:rPr/>
        <w:t xml:space="preserve">三、新兴市场(印度、中东)算力需求崛起</w:t>
      </w:r>
    </w:p>
    <w:p>
      <w:pPr>
        <w:spacing w:before="75" w:after="0"/>
      </w:pPr>
      <w:r>
        <w:rPr/>
        <w:t xml:space="preserve">第二节 技术路线竞争预测</w:t>
      </w:r>
    </w:p>
    <w:p>
      <w:pPr>
        <w:spacing w:before="75" w:after="0"/>
      </w:pPr>
      <w:r>
        <w:rPr/>
        <w:t xml:space="preserve">一、cuda生态是否被打破</w:t>
      </w:r>
    </w:p>
    <w:p>
      <w:pPr>
        <w:spacing w:before="75" w:after="0"/>
      </w:pPr>
      <w:r>
        <w:rPr/>
        <w:t xml:space="preserve">二、risc-v+开源软件栈能否构建新范式</w:t>
      </w:r>
    </w:p>
    <w:p>
      <w:pPr>
        <w:spacing w:before="75" w:after="0"/>
      </w:pPr>
      <w:r>
        <w:rPr/>
        <w:t xml:space="preserve">三、量子-经典混合计算对传统算力冲击</w:t>
      </w:r>
    </w:p>
    <w:p>
      <w:pPr>
        <w:spacing w:before="75" w:after="0"/>
      </w:pPr>
      <w:r>
        <w:rPr/>
        <w:t xml:space="preserve">第三节 供应链重构趋势</w:t>
      </w:r>
    </w:p>
    <w:p>
      <w:pPr>
        <w:spacing w:before="75" w:after="0"/>
      </w:pPr>
      <w:r>
        <w:rPr/>
        <w:t xml:space="preserve">一、去美化供应链加速建设</w:t>
      </w:r>
    </w:p>
    <w:p>
      <w:pPr>
        <w:spacing w:before="75" w:after="0"/>
      </w:pPr>
      <w:r>
        <w:rPr/>
        <w:t xml:space="preserve">二、东南亚、墨西哥成为新制造基地</w:t>
      </w:r>
    </w:p>
    <w:p>
      <w:pPr>
        <w:spacing w:before="75" w:after="0"/>
      </w:pPr>
      <w:r>
        <w:rPr/>
        <w:t xml:space="preserve">三、关键设备与材料本地化率目标设定</w:t>
      </w:r>
    </w:p>
    <w:p>
      <w:pPr>
        <w:spacing w:before="75" w:after="0"/>
      </w:pPr>
      <w:r>
        <w:rPr>
          <w:b w:val="1"/>
          <w:bCs w:val="1"/>
        </w:rPr>
        <w:t xml:space="preserve">第十五章 算力产业投资机会与风险研判</w:t>
      </w:r>
    </w:p>
    <w:p>
      <w:pPr>
        <w:spacing w:before="75" w:after="0"/>
      </w:pPr>
      <w:r>
        <w:rPr/>
        <w:t xml:space="preserve">第一节 高价值赛道排序</w:t>
      </w:r>
    </w:p>
    <w:p>
      <w:pPr>
        <w:spacing w:before="75" w:after="0"/>
      </w:pPr>
      <w:r>
        <w:rPr/>
        <w:t xml:space="preserve">一、ai算力芯片 &gt; 算力调度软件 &gt; 液冷基础设施</w:t>
      </w:r>
    </w:p>
    <w:p>
      <w:pPr>
        <w:spacing w:before="75" w:after="0"/>
      </w:pPr>
      <w:r>
        <w:rPr/>
        <w:t xml:space="preserve">二、垂直行业算力解决方案(金融、医疗、制造)</w:t>
      </w:r>
    </w:p>
    <w:p>
      <w:pPr>
        <w:spacing w:before="75" w:after="0"/>
      </w:pPr>
      <w:r>
        <w:rPr/>
        <w:t xml:space="preserve">三、算力即服务(caas)平台商业模式</w:t>
      </w:r>
    </w:p>
    <w:p>
      <w:pPr>
        <w:spacing w:before="75" w:after="0"/>
      </w:pPr>
      <w:r>
        <w:rPr/>
        <w:t xml:space="preserve">第二节 投资建议</w:t>
      </w:r>
    </w:p>
    <w:p>
      <w:pPr>
        <w:spacing w:before="75" w:after="0"/>
      </w:pPr>
      <w:r>
        <w:rPr/>
        <w:t xml:space="preserve">一、优先布局具备软硬协同能力的企业</w:t>
      </w:r>
    </w:p>
    <w:p>
      <w:pPr>
        <w:spacing w:before="75" w:after="0"/>
      </w:pPr>
      <w:r>
        <w:rPr/>
        <w:t xml:space="preserve">二、关注算力效率(非峰值性能)指标</w:t>
      </w:r>
    </w:p>
    <w:p>
      <w:pPr>
        <w:spacing w:before="75" w:after="0"/>
      </w:pPr>
      <w:r>
        <w:rPr/>
        <w:t xml:space="preserve">三、重视知识产权与出口合规体系</w:t>
      </w:r>
    </w:p>
    <w:p>
      <w:pPr>
        <w:spacing w:before="75" w:after="0"/>
      </w:pPr>
      <w:r>
        <w:rPr/>
        <w:t xml:space="preserve">第三节 风险预警</w:t>
      </w:r>
    </w:p>
    <w:p>
      <w:pPr>
        <w:spacing w:before="75" w:after="0"/>
      </w:pPr>
      <w:r>
        <w:rPr/>
        <w:t xml:space="preserve">一、技术迭代导致资产快速贬值</w:t>
      </w:r>
    </w:p>
    <w:p>
      <w:pPr>
        <w:spacing w:before="75" w:after="0"/>
      </w:pPr>
      <w:r>
        <w:rPr/>
        <w:t xml:space="preserve">二、生态封闭导致客户锁定失败</w:t>
      </w:r>
    </w:p>
    <w:p>
      <w:pPr>
        <w:spacing w:before="75" w:after="0"/>
      </w:pPr>
      <w:r>
        <w:rPr/>
        <w:t xml:space="preserve">三、电力与碳配额政策收紧影响运营</w:t>
      </w:r>
    </w:p>
    <w:p>
      <w:pPr>
        <w:spacing w:before="75" w:after="0"/>
      </w:pPr>
      <w:r>
        <w:rPr>
          <w:b w:val="1"/>
          <w:bCs w:val="1"/>
        </w:rPr>
        <w:t xml:space="preserve">第十六章 算力产业进入壁垒与swot分析</w:t>
      </w:r>
    </w:p>
    <w:p>
      <w:pPr>
        <w:spacing w:before="75" w:after="0"/>
      </w:pPr>
      <w:r>
        <w:rPr/>
        <w:t xml:space="preserve">第一节 行业进入壁垒</w:t>
      </w:r>
    </w:p>
    <w:p>
      <w:pPr>
        <w:spacing w:before="75" w:after="0"/>
      </w:pPr>
      <w:r>
        <w:rPr/>
        <w:t xml:space="preserve">一、技术壁垒</w:t>
      </w:r>
    </w:p>
    <w:p>
      <w:pPr>
        <w:spacing w:before="75" w:after="0"/>
      </w:pPr>
      <w:r>
        <w:rPr/>
        <w:t xml:space="preserve">二、资金壁垒</w:t>
      </w:r>
    </w:p>
    <w:p>
      <w:pPr>
        <w:spacing w:before="75" w:after="0"/>
      </w:pPr>
      <w:r>
        <w:rPr/>
        <w:t xml:space="preserve">三、客户认证壁垒</w:t>
      </w:r>
    </w:p>
    <w:p>
      <w:pPr>
        <w:spacing w:before="75" w:after="0"/>
      </w:pPr>
      <w:r>
        <w:rPr/>
        <w:t xml:space="preserve">第二节 中国算力产业swot分析</w:t>
      </w:r>
    </w:p>
    <w:p>
      <w:pPr>
        <w:spacing w:before="75" w:after="0"/>
      </w:pPr>
      <w:r>
        <w:rPr/>
        <w:t xml:space="preserve">一、优势：庞大内需市场、工程师红利、政策引导</w:t>
      </w:r>
    </w:p>
    <w:p>
      <w:pPr>
        <w:spacing w:before="75" w:after="0"/>
      </w:pPr>
      <w:r>
        <w:rPr/>
        <w:t xml:space="preserve">二、劣势：高端制造受限、基础软件薄弱、生态碎片化</w:t>
      </w:r>
    </w:p>
    <w:p>
      <w:pPr>
        <w:spacing w:before="75" w:after="0"/>
      </w:pPr>
      <w:r>
        <w:rPr/>
        <w:t xml:space="preserve">三、机会：“十五五”国产替代窗口、ai爆发驱动</w:t>
      </w:r>
    </w:p>
    <w:p>
      <w:pPr>
        <w:spacing w:before="75" w:after="0"/>
      </w:pPr>
      <w:r>
        <w:rPr/>
        <w:t xml:space="preserve">四、威胁：技术封锁升级、国际巨头降价竞争</w:t>
      </w:r>
    </w:p>
    <w:p>
      <w:pPr>
        <w:spacing w:before="75" w:after="0"/>
      </w:pPr>
      <w:r>
        <w:rPr>
          <w:b w:val="1"/>
          <w:bCs w:val="1"/>
        </w:rPr>
        <w:t xml:space="preserve">第十七章 算力产业发展战略建议</w:t>
      </w:r>
    </w:p>
    <w:p>
      <w:pPr>
        <w:spacing w:before="75" w:after="0"/>
      </w:pPr>
      <w:r>
        <w:rPr/>
        <w:t xml:space="preserve">第一节 对芯片与硬件厂商</w:t>
      </w:r>
    </w:p>
    <w:p>
      <w:pPr>
        <w:spacing w:before="75" w:after="0"/>
      </w:pPr>
      <w:r>
        <w:rPr/>
        <w:t xml:space="preserve">一、聚焦场景定义芯片，避免盲目对标</w:t>
      </w:r>
    </w:p>
    <w:p>
      <w:pPr>
        <w:spacing w:before="75" w:after="0"/>
      </w:pPr>
      <w:r>
        <w:rPr/>
        <w:t xml:space="preserve">二、联合软件伙伴共建最小可行生态</w:t>
      </w:r>
    </w:p>
    <w:p>
      <w:pPr>
        <w:spacing w:before="75" w:after="0"/>
      </w:pPr>
      <w:r>
        <w:rPr/>
        <w:t xml:space="preserve">三、采用“先边缘后云端”渐进策略</w:t>
      </w:r>
    </w:p>
    <w:p>
      <w:pPr>
        <w:spacing w:before="75" w:after="0"/>
      </w:pPr>
      <w:r>
        <w:rPr/>
        <w:t xml:space="preserve">第二节 对数据中心与云服务商</w:t>
      </w:r>
    </w:p>
    <w:p>
      <w:pPr>
        <w:spacing w:before="75" w:after="0"/>
      </w:pPr>
      <w:r>
        <w:rPr/>
        <w:t xml:space="preserve">一、构建多芯片兼容的算力池</w:t>
      </w:r>
    </w:p>
    <w:p>
      <w:pPr>
        <w:spacing w:before="75" w:after="0"/>
      </w:pPr>
      <w:r>
        <w:rPr/>
        <w:t xml:space="preserve">二、开发算力碳足迹追踪系统</w:t>
      </w:r>
    </w:p>
    <w:p>
      <w:pPr>
        <w:spacing w:before="75" w:after="0"/>
      </w:pPr>
      <w:r>
        <w:rPr/>
        <w:t xml:space="preserve">三、提供算力效能(非仅算力)sla承诺</w:t>
      </w:r>
    </w:p>
    <w:p>
      <w:pPr>
        <w:spacing w:before="75" w:after="0"/>
      </w:pPr>
      <w:r>
        <w:rPr/>
        <w:t xml:space="preserve">第三节 对政府与投资机构</w:t>
      </w:r>
    </w:p>
    <w:p>
      <w:pPr>
        <w:spacing w:before="75" w:after="0"/>
      </w:pPr>
      <w:r>
        <w:rPr/>
        <w:t xml:space="preserve">一、设立算力互操作性测试认证中心</w:t>
      </w:r>
    </w:p>
    <w:p>
      <w:pPr>
        <w:spacing w:before="75" w:after="0"/>
      </w:pPr>
      <w:r>
        <w:rPr/>
        <w:t xml:space="preserve">二、引导绿电与算力协同规划</w:t>
      </w:r>
    </w:p>
    <w:p>
      <w:pPr>
        <w:spacing w:before="75" w:after="0"/>
      </w:pPr>
      <w:r>
        <w:rPr/>
        <w:t xml:space="preserve">三、支持开源社区与人才培养</w:t>
      </w:r>
    </w:p>
    <w:p>
      <w:pPr>
        <w:spacing w:before="75" w:after="0"/>
      </w:pPr>
      <w:r>
        <w:rPr>
          <w:b w:val="1"/>
          <w:bCs w:val="1"/>
        </w:rPr>
        <w:t xml:space="preserve">第十八章 结论与展望</w:t>
      </w:r>
    </w:p>
    <w:p>
      <w:pPr>
        <w:spacing w:before="75" w:after="0"/>
      </w:pPr>
      <w:r>
        <w:rPr/>
        <w:t xml:space="preserve">第一节 核心结论</w:t>
      </w:r>
    </w:p>
    <w:p>
      <w:pPr>
        <w:spacing w:before="75" w:after="0"/>
      </w:pPr>
      <w:r>
        <w:rPr/>
        <w:t xml:space="preserve">一、“十四五”完成算力从“有没有”到“用起来”跨越</w:t>
      </w:r>
    </w:p>
    <w:p>
      <w:pPr>
        <w:spacing w:before="75" w:after="0"/>
      </w:pPr>
      <w:r>
        <w:rPr/>
        <w:t xml:space="preserve">二、“十五五”将实现“高效、绿色、自主、泛在”算力体系</w:t>
      </w:r>
    </w:p>
    <w:p>
      <w:pPr>
        <w:spacing w:before="75" w:after="0"/>
      </w:pPr>
      <w:r>
        <w:rPr/>
        <w:t xml:space="preserve">三、软件与生态决定国产算力最终成败</w:t>
      </w:r>
    </w:p>
    <w:p>
      <w:pPr>
        <w:spacing w:before="75" w:after="0"/>
      </w:pPr>
      <w:r>
        <w:rPr/>
        <w:t xml:space="preserve">第二节 未来展望</w:t>
      </w:r>
    </w:p>
    <w:p>
      <w:pPr>
        <w:spacing w:before="75" w:after="0"/>
      </w:pPr>
      <w:r>
        <w:rPr/>
        <w:t xml:space="preserve">一、算力将成为数字经济时代的核心生产要素</w:t>
      </w:r>
    </w:p>
    <w:p>
      <w:pPr>
        <w:spacing w:before="75" w:after="0"/>
      </w:pPr>
      <w:r>
        <w:rPr/>
        <w:t xml:space="preserve">二、中国有望在特定领域实现局部领先</w:t>
      </w:r>
    </w:p>
    <w:p>
      <w:pPr>
        <w:spacing w:before="75" w:after="0"/>
      </w:pPr>
      <w:r>
        <w:rPr/>
        <w:t xml:space="preserve">三、全球算力治理规则亟待建立</w:t>
      </w:r>
    </w:p>
    <w:p>
      <w:pPr>
        <w:spacing w:before="75" w:after="0"/>
      </w:pPr>
      <w:r>
        <w:rPr>
          <w:b w:val="1"/>
          <w:bCs w:val="1"/>
        </w:rPr>
        <w:t xml:space="preserve">图表目录</w:t>
      </w:r>
    </w:p>
    <w:p>
      <w:pPr>
        <w:spacing w:before="75" w:after="0"/>
      </w:pPr>
      <w:r>
        <w:rPr/>
        <w:t xml:space="preserve">图表：算力行业生命周期</w:t>
      </w:r>
    </w:p>
    <w:p>
      <w:pPr>
        <w:spacing w:before="75" w:after="0"/>
      </w:pPr>
      <w:r>
        <w:rPr/>
        <w:t xml:space="preserve">图表：算力行业产业链全景图</w:t>
      </w:r>
    </w:p>
    <w:p>
      <w:pPr>
        <w:spacing w:before="75" w:after="0"/>
      </w:pPr>
      <w:r>
        <w:rPr/>
        <w:t xml:space="preserve">图表：2023-2025年全球算力行业市场规模</w:t>
      </w:r>
    </w:p>
    <w:p>
      <w:pPr>
        <w:spacing w:before="75" w:after="0"/>
      </w:pPr>
      <w:r>
        <w:rPr/>
        <w:t xml:space="preserve">图表：2023-2025年中国算力行业市场规模</w:t>
      </w:r>
    </w:p>
    <w:p>
      <w:pPr>
        <w:spacing w:before="75" w:after="0"/>
      </w:pPr>
      <w:r>
        <w:rPr/>
        <w:t xml:space="preserve">图表：2023-2025年算力行业销售收入</w:t>
      </w:r>
    </w:p>
    <w:p>
      <w:pPr>
        <w:spacing w:before="75" w:after="0"/>
      </w:pPr>
      <w:r>
        <w:rPr/>
        <w:t xml:space="preserve">图表：2023-2025年算力行业毛利润及净利润</w:t>
      </w:r>
    </w:p>
    <w:p>
      <w:pPr>
        <w:spacing w:before="75" w:after="0"/>
      </w:pPr>
      <w:r>
        <w:rPr/>
        <w:t xml:space="preserve">图表：2023-2024年算力行业资产总计</w:t>
      </w:r>
    </w:p>
    <w:p>
      <w:pPr>
        <w:spacing w:before="75" w:after="0"/>
      </w:pPr>
      <w:r>
        <w:rPr/>
        <w:t xml:space="preserve">图表：2023-2024年算力行业负债总计</w:t>
      </w:r>
    </w:p>
    <w:p>
      <w:pPr>
        <w:spacing w:before="75" w:after="0"/>
      </w:pPr>
      <w:r>
        <w:rPr/>
        <w:t xml:space="preserve">图表：2023-2025年算力行业资产负债率</w:t>
      </w:r>
    </w:p>
    <w:p>
      <w:pPr>
        <w:spacing w:before="75" w:after="0"/>
      </w:pPr>
      <w:r>
        <w:rPr/>
        <w:t xml:space="preserve">图表：2026-2031年算力行业偿债能力预测</w:t>
      </w:r>
    </w:p>
    <w:p>
      <w:pPr>
        <w:spacing w:before="75" w:after="0"/>
      </w:pPr>
      <w:r>
        <w:rPr/>
        <w:t xml:space="preserve">图表：2023-2025年算力行业市场集中度</w:t>
      </w:r>
    </w:p>
    <w:p>
      <w:pPr>
        <w:spacing w:before="75" w:after="0"/>
      </w:pPr>
      <w:r>
        <w:rPr/>
        <w:t xml:space="preserve">图表：2023-2025年算力市场价格走势</w:t>
      </w:r>
    </w:p>
    <w:p>
      <w:pPr>
        <w:spacing w:before="75" w:after="0"/>
      </w:pPr>
      <w:r>
        <w:rPr/>
        <w:t xml:space="preserve">图表：2023-2025年算力行业产品产销率</w:t>
      </w:r>
    </w:p>
    <w:p>
      <w:pPr>
        <w:spacing w:before="75" w:after="0"/>
      </w:pPr>
      <w:r>
        <w:rPr/>
        <w:t xml:space="preserve">图表：2023-2025年算力行业销售收入</w:t>
      </w:r>
    </w:p>
    <w:p>
      <w:pPr>
        <w:spacing w:before="75" w:after="0"/>
      </w:pPr>
      <w:r>
        <w:rPr/>
        <w:t xml:space="preserve">图表：2023-2025年算力行业成本结构</w:t>
      </w:r>
    </w:p>
    <w:p>
      <w:pPr>
        <w:spacing w:before="75" w:after="0"/>
      </w:pPr>
      <w:r>
        <w:rPr/>
        <w:t xml:space="preserve">图表：2023-2025年算力行业销售费用分析</w:t>
      </w:r>
    </w:p>
    <w:p>
      <w:pPr>
        <w:spacing w:before="75" w:after="0"/>
      </w:pPr>
      <w:r>
        <w:rPr/>
        <w:t xml:space="preserve">图表：2023-2025年算力行业管理费用分析</w:t>
      </w:r>
    </w:p>
    <w:p>
      <w:pPr>
        <w:spacing w:before="75" w:after="0"/>
      </w:pPr>
      <w:r>
        <w:rPr/>
        <w:t xml:space="preserve">图表：2023-2025年算力行业财务费用分析</w:t>
      </w:r>
    </w:p>
    <w:p>
      <w:pPr>
        <w:spacing w:before="75" w:after="0"/>
      </w:pPr>
      <w:r>
        <w:rPr/>
        <w:t xml:space="preserve">图表：2023-2025年中国gdp及增速走势图</w:t>
      </w:r>
    </w:p>
    <w:p>
      <w:pPr>
        <w:spacing w:before="75" w:after="0"/>
      </w:pPr>
      <w:r>
        <w:rPr/>
        <w:t xml:space="preserve">图表：“十五五”中国算力行业产值增速预测</w:t>
      </w:r>
    </w:p>
    <w:p>
      <w:pPr>
        <w:spacing w:before="75" w:after="0"/>
      </w:pPr>
      <w:r>
        <w:rPr/>
        <w:t xml:space="preserve">图表：2026-2031年中国算力行业市场规模预测</w:t>
      </w:r>
    </w:p>
    <w:p>
      <w:pPr>
        <w:spacing w:before="75" w:after="0"/>
      </w:pPr>
      <w:r>
        <w:rPr/>
        <w:t xml:space="preserve">图表：2026-2031年中国算力行业需求规模预测</w:t>
      </w:r>
    </w:p>
    <w:p>
      <w:pPr>
        <w:spacing w:before="75" w:after="0"/>
      </w:pPr>
      <w:r>
        <w:rPr/>
        <w:t xml:space="preserve">图表：“十四五”期间中国算力行业发展目标完成情况</w:t>
      </w:r>
    </w:p>
    <w:p>
      <w:pPr>
        <w:spacing w:before="75" w:after="0"/>
      </w:pPr>
      <w:r>
        <w:rPr/>
        <w:t xml:space="preserve">图表：算力行业swot分析图</w:t>
      </w:r>
    </w:p>
    <w:p>
      <w:pPr>
        <w:spacing w:before="75" w:after="0"/>
      </w:pPr>
      <w:r>
        <w:rPr/>
        <w:t xml:space="preserve">图表：2026-2031年中国算力行业投资规模预测</w:t>
      </w:r>
    </w:p>
    <w:p>
      <w:pPr>
        <w:spacing w:before="75" w:after="0"/>
      </w:pPr>
      <w:r>
        <w:rPr/>
        <w:t xml:space="preserve">图表：2023-2025年算力行业销售利润率分析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2026-2031年中国算力“十五五”产业链全景调研及投资环境深度剖析报告</dc:title>
  <dc:description>2026-2031年中国算力“十五五”产业链全景调研及投资环境深度剖析报告</dc:description>
  <dc:subject>2026-2031年中国算力“十五五”产业链全景调研及投资环境深度剖析报告</dc:subject>
  <cp:keywords>研究报告</cp:keywords>
  <cp:category>研究报告</cp:category>
  <cp:lastModifiedBy>北京中道泰和信息咨询有限公司</cp:lastModifiedBy>
  <dcterms:created xsi:type="dcterms:W3CDTF">2026-03-30T16:10:01+08:00</dcterms:created>
  <dcterms:modified xsi:type="dcterms:W3CDTF">2026-03-30T16:10:01+08:00</dcterms:modified>
</cp:coreProperties>
</file>

<file path=docProps/custom.xml><?xml version="1.0" encoding="utf-8"?>
<Properties xmlns="http://schemas.openxmlformats.org/officeDocument/2006/custom-properties" xmlns:vt="http://schemas.openxmlformats.org/officeDocument/2006/docPropsVTypes"/>
</file>