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2026-2031年中国可控核聚变能源行业发展分析与投资前景预测报告</w:t>
      </w:r>
    </w:p>
    <w:p>
      <w:pPr>
        <w:spacing w:after="150"/>
      </w:pPr>
      <w:r>
        <w:rPr>
          <w:b w:val="1"/>
          <w:bCs w:val="1"/>
        </w:rPr>
        <w:t xml:space="preserve">报告简介</w:t>
      </w:r>
    </w:p>
    <w:p>
      <w:pPr>
        <w:spacing w:after="150"/>
      </w:pPr>
      <w:r>
        <w:rPr/>
        <w:t xml:space="preserve">核聚变反应的核心物理机制是轻核在极高温度、压力条件下克服原子核间的库仑斥力，发生碰撞并融合形成更重的原子核，同时伴随质量亏损并释放巨大能量(遵循质能方程E=mc2)。宇宙中最常见的聚变反应是氢核(质子)融合形成氦核，而人工可控核聚变研究中，氘(D)与氚(T)的融合反应因门槛相对较低、反应截面最大成为主流研究方向，该反应可释放17.6MeV的能量，同时产生高速中子。</w:t>
      </w:r>
    </w:p>
    <w:p>
      <w:pPr>
        <w:spacing w:after="150"/>
      </w:pPr>
      <w:r>
        <w:rPr/>
        <w:t xml:space="preserve">全球聚变行业经历爆发式增长，投资规模急剧扩张，标志着资本市场对其商业化前景的信心趋于成熟。根据美国聚变工业协会发布的《2025年全球聚变行业》报告，2025年全球聚变研发投资规模约为26.44 亿美元，预计2030年达到149.52亿美元，凸显聚变能源作为解决未来清洁能源需求的战略吸引力。</w:t>
      </w:r>
    </w:p>
    <w:p>
      <w:pPr>
        <w:spacing w:after="150"/>
      </w:pPr>
      <w:r>
        <w:rPr/>
        <w:t xml:space="preserve">近年来是聚变产业链初步成型的关键时期，装置建设市场显现出明确的商业化导向，2024年全球装置建设市场规模约为100亿美元;部件供应链在规模和技术能力上迅速提升，2024年全球部件供应市场规模约为120亿美元;而专业的技术服务市场已成为支撑产业发展的重要一环，2024年全球技术服务市场规模约为18亿美元。</w:t>
      </w:r>
    </w:p>
    <w:p>
      <w:pPr>
        <w:spacing w:after="150"/>
      </w:pPr>
      <w:r>
        <w:rPr/>
        <w:t xml:space="preserve">国家层面将核聚变纳入前沿颠覆性技术战略布局，财政投入呈现持续增长态势，为产业发展提供稳定资金支撑。据中国核能行业协会《2024中国核聚变发展白皮书》数据，中央财政对聚变研发的年度投入已从2020年的约8亿元增至2024年的22亿元，“十四五”期间年均支持额度超15亿元;《“十四五”能源领域科技创新规划》明确设立“聚变能开发与示范工程”重大专项，预计2026—2030年累计财政投入将达200亿元以上，重点投向关键部件国产化、材料辐照测试平台建设及示范堆前期设计。社会资本已成为聚变领域投资的重要力量，投资赛道聚焦核心产业链环节，关键设备赛道，覆盖射频电源、真空系统、超导磁体等，国光电气、安泰科技等细分龙头凭借项目订单优势吸引资本布局，其中国光电气2024年斩获46项聚变项目订单，金额合计8.7亿元;智能化赋能赛道，AI等离子体控制、数字孪生仿真系统等技术方向成为资本新热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核聚变能源行业研究单位等公布和提供的大量资料。报告对我国可控核聚变能源行业的供需状况、发展现状、子行业发展变化等进行了分析，重点分析了国内外可控核聚变能源行业的发展现状、如何面对行业的发展挑战、行业的发展建议、行业竞争力，以及行业的投资分析和趋势预测等等。报告还综合了可控核聚变能源行业的整体发展动态，对行业在产品方面提供了参考建议和具体解决办法。报告对于可控核聚变能源产品生产企业、经销商、行业管理部门以及拟进入该行业的投资者具有重要的参考价值，对于研究我国可控核聚变能源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可控核聚变能源行业基础概述</w:t>
      </w:r>
    </w:p>
    <w:p>
      <w:pPr>
        <w:spacing w:before="75" w:after="0"/>
      </w:pPr>
      <w:r>
        <w:rPr/>
        <w:t xml:space="preserve">第一节 核聚变科学原理与技术本质</w:t>
      </w:r>
    </w:p>
    <w:p>
      <w:pPr>
        <w:spacing w:before="75" w:after="0"/>
      </w:pPr>
      <w:r>
        <w:rPr/>
        <w:t xml:space="preserve">一、核聚变反应物理机制与三重积判据</w:t>
      </w:r>
    </w:p>
    <w:p>
      <w:pPr>
        <w:spacing w:before="75" w:after="0"/>
      </w:pPr>
      <w:r>
        <w:rPr/>
        <w:t xml:space="preserve">二、可控实现路径的理论基础与工程挑战</w:t>
      </w:r>
    </w:p>
    <w:p>
      <w:pPr>
        <w:spacing w:before="75" w:after="0"/>
      </w:pPr>
      <w:r>
        <w:rPr/>
        <w:t xml:space="preserve">三、聚变能相较于裂变能与可再生能源的核心优势</w:t>
      </w:r>
    </w:p>
    <w:p>
      <w:pPr>
        <w:spacing w:before="75" w:after="0"/>
      </w:pPr>
      <w:r>
        <w:rPr/>
        <w:t xml:space="preserve">第二节 行业技术路线分类体系</w:t>
      </w:r>
    </w:p>
    <w:p>
      <w:pPr>
        <w:spacing w:before="75" w:after="0"/>
      </w:pPr>
      <w:r>
        <w:rPr/>
        <w:t xml:space="preserve">一、磁约束聚变(mcf)技术家族：托卡马克、仿星器、磁镜</w:t>
      </w:r>
    </w:p>
    <w:p>
      <w:pPr>
        <w:spacing w:before="75" w:after="0"/>
      </w:pPr>
      <w:r>
        <w:rPr/>
        <w:t xml:space="preserve">二、惯性约束聚变(icf)技术路径：激光驱动、z箍缩、重离子驱动</w:t>
      </w:r>
    </w:p>
    <w:p>
      <w:pPr>
        <w:spacing w:before="75" w:after="0"/>
      </w:pPr>
      <w:r>
        <w:rPr/>
        <w:t xml:space="preserve">三、新兴聚变概念：磁化惯性约束(mif)、场反位形(frc)与紧凑装置</w:t>
      </w:r>
    </w:p>
    <w:p>
      <w:pPr>
        <w:spacing w:before="75" w:after="0"/>
      </w:pPr>
      <w:r>
        <w:rPr>
          <w:b w:val="1"/>
          <w:bCs w:val="1"/>
        </w:rPr>
        <w:t xml:space="preserve">第二章 全球可控核聚变发展格局与竞争态势</w:t>
      </w:r>
    </w:p>
    <w:p>
      <w:pPr>
        <w:spacing w:before="75" w:after="0"/>
      </w:pPr>
      <w:r>
        <w:rPr/>
        <w:t xml:space="preserve">第一节 主要国家战略布局与投入强度对比</w:t>
      </w:r>
    </w:p>
    <w:p>
      <w:pPr>
        <w:spacing w:before="75" w:after="0"/>
      </w:pPr>
      <w:r>
        <w:rPr/>
        <w:t xml:space="preserve">一、美国《聚变能战略2024》与里程碑计划的资金分配机制</w:t>
      </w:r>
    </w:p>
    <w:p>
      <w:pPr>
        <w:spacing w:before="75" w:after="0"/>
      </w:pPr>
      <w:r>
        <w:rPr/>
        <w:t xml:space="preserve">二、欧盟eurofusion路线图与工业伙伴协同模式</w:t>
      </w:r>
    </w:p>
    <w:p>
      <w:pPr>
        <w:spacing w:before="75" w:after="0"/>
      </w:pPr>
      <w:r>
        <w:rPr/>
        <w:t xml:space="preserve">三、日本、韩国、俄罗斯等国特色化技术路径选择</w:t>
      </w:r>
    </w:p>
    <w:p>
      <w:pPr>
        <w:spacing w:before="75" w:after="0"/>
      </w:pPr>
      <w:r>
        <w:rPr/>
        <w:t xml:space="preserve">第二节 国际大科学工程合作与博弈</w:t>
      </w:r>
    </w:p>
    <w:p>
      <w:pPr>
        <w:spacing w:before="75" w:after="0"/>
      </w:pPr>
      <w:r>
        <w:rPr/>
        <w:t xml:space="preserve">一、iter项目2026-2031年建设关键节点与延期风险评估</w:t>
      </w:r>
    </w:p>
    <w:p>
      <w:pPr>
        <w:spacing w:before="75" w:after="0"/>
      </w:pPr>
      <w:r>
        <w:rPr/>
        <w:t xml:space="preserve">二、双多边合作新机制：美英日三方协议、中美科技竞争背景下的有限合作</w:t>
      </w:r>
    </w:p>
    <w:p>
      <w:pPr>
        <w:spacing w:before="75" w:after="0"/>
      </w:pPr>
      <w:r>
        <w:rPr/>
        <w:t xml:space="preserve">三、全球专利池构建与技术壁垒攻防策略</w:t>
      </w:r>
    </w:p>
    <w:p>
      <w:pPr>
        <w:spacing w:before="75" w:after="0"/>
      </w:pPr>
      <w:r>
        <w:rPr/>
        <w:t xml:space="preserve">第三节 私营聚变企业崛起与商业生态重构</w:t>
      </w:r>
    </w:p>
    <w:p>
      <w:pPr>
        <w:spacing w:before="75" w:after="0"/>
      </w:pPr>
      <w:r>
        <w:rPr/>
        <w:t xml:space="preserve">一、cfs、helion、tae等头部企业技术路线与融资估值分析</w:t>
      </w:r>
    </w:p>
    <w:p>
      <w:pPr>
        <w:spacing w:before="75" w:after="0"/>
      </w:pPr>
      <w:r>
        <w:rPr/>
        <w:t xml:space="preserve">二、企业-国家实验室协同创新模式的可复制性</w:t>
      </w:r>
    </w:p>
    <w:p>
      <w:pPr>
        <w:spacing w:before="75" w:after="0"/>
      </w:pPr>
      <w:r>
        <w:rPr/>
        <w:t xml:space="preserve">三、全球供应链本土化与区域化趋势研判</w:t>
      </w:r>
    </w:p>
    <w:p>
      <w:pPr>
        <w:spacing w:before="75" w:after="0"/>
      </w:pPr>
      <w:r>
        <w:rPr>
          <w:b w:val="1"/>
          <w:bCs w:val="1"/>
        </w:rPr>
        <w:t xml:space="preserve">第三章 中国可控核聚变行业发展现状与资源禀赋</w:t>
      </w:r>
    </w:p>
    <w:p>
      <w:pPr>
        <w:spacing w:before="75" w:after="0"/>
      </w:pPr>
      <w:r>
        <w:rPr/>
        <w:t xml:space="preserve">第一节 国家战略体系与政策架构</w:t>
      </w:r>
    </w:p>
    <w:p>
      <w:pPr>
        <w:spacing w:before="75" w:after="0"/>
      </w:pPr>
      <w:r>
        <w:rPr/>
        <w:t xml:space="preserve">一、国家“十四五”规划与中长期能源战略的衔接机制</w:t>
      </w:r>
    </w:p>
    <w:p>
      <w:pPr>
        <w:spacing w:before="75" w:after="0"/>
      </w:pPr>
      <w:r>
        <w:rPr/>
        <w:t xml:space="preserve">二、“十五五”规划前期研究与聚变能定位再评估</w:t>
      </w:r>
    </w:p>
    <w:p>
      <w:pPr>
        <w:spacing w:before="75" w:after="0"/>
      </w:pPr>
      <w:r>
        <w:rPr/>
        <w:t xml:space="preserve">三、财政资金、国资平台与社会资本协同投入模式</w:t>
      </w:r>
    </w:p>
    <w:p>
      <w:pPr>
        <w:spacing w:before="75" w:after="0"/>
      </w:pPr>
      <w:r>
        <w:rPr/>
        <w:t xml:space="preserve">第二节 国家级研发平台与重大工程进展</w:t>
      </w:r>
    </w:p>
    <w:p>
      <w:pPr>
        <w:spacing w:before="75" w:after="0"/>
      </w:pPr>
      <w:r>
        <w:rPr/>
        <w:t xml:space="preserve">一、east装置长脉冲高参数运行纪录与技术迭代</w:t>
      </w:r>
    </w:p>
    <w:p>
      <w:pPr>
        <w:spacing w:before="75" w:after="0"/>
      </w:pPr>
      <w:r>
        <w:rPr/>
        <w:t xml:space="preserve">二、聚变堆主机关键系统综合研究设施(craft)建设进度</w:t>
      </w:r>
    </w:p>
    <w:p>
      <w:pPr>
        <w:spacing w:before="75" w:after="0"/>
      </w:pPr>
      <w:r>
        <w:rPr/>
        <w:t xml:space="preserve">三、环流三号(hl-3)装置实验突破与工程化验证</w:t>
      </w:r>
    </w:p>
    <w:p>
      <w:pPr>
        <w:spacing w:before="75" w:after="0"/>
      </w:pPr>
      <w:r>
        <w:rPr/>
        <w:t xml:space="preserve">第三节 中国聚变工程试验堆(cfetr)规划与实施路径</w:t>
      </w:r>
    </w:p>
    <w:p>
      <w:pPr>
        <w:spacing w:before="75" w:after="0"/>
      </w:pPr>
      <w:r>
        <w:rPr/>
        <w:t xml:space="preserve">一、cfetr技术方案选型与关键指标设定(q≥10)</w:t>
      </w:r>
    </w:p>
    <w:p>
      <w:pPr>
        <w:spacing w:before="75" w:after="0"/>
      </w:pPr>
      <w:r>
        <w:rPr/>
        <w:t xml:space="preserve">二、建设时序分解：2026-2031年技术预研与工程设计</w:t>
      </w:r>
    </w:p>
    <w:p>
      <w:pPr>
        <w:spacing w:before="75" w:after="0"/>
      </w:pPr>
      <w:r>
        <w:rPr/>
        <w:t xml:space="preserve">三、与best、dampe等紧凑型装置的协同逻辑</w:t>
      </w:r>
    </w:p>
    <w:p>
      <w:pPr>
        <w:spacing w:before="75" w:after="0"/>
      </w:pPr>
      <w:r>
        <w:rPr>
          <w:b w:val="1"/>
          <w:bCs w:val="1"/>
        </w:rPr>
        <w:t xml:space="preserve">第四章 核心技术路线深度剖析与成熟度评估</w:t>
      </w:r>
    </w:p>
    <w:p>
      <w:pPr>
        <w:spacing w:before="75" w:after="0"/>
      </w:pPr>
      <w:r>
        <w:rPr/>
        <w:t xml:space="preserve">第一节 托卡马克路线工程化瓶颈</w:t>
      </w:r>
    </w:p>
    <w:p>
      <w:pPr>
        <w:spacing w:before="75" w:after="0"/>
      </w:pPr>
      <w:r>
        <w:rPr/>
        <w:t xml:space="preserve">一、第一壁材料与偏滤器热负荷管理技术演进</w:t>
      </w:r>
    </w:p>
    <w:p>
      <w:pPr>
        <w:spacing w:before="75" w:after="0"/>
      </w:pPr>
      <w:r>
        <w:rPr/>
        <w:t xml:space="preserve">二、超导磁体高场强(大于15t)运行稳定性与失超保护</w:t>
      </w:r>
    </w:p>
    <w:p>
      <w:pPr>
        <w:spacing w:before="75" w:after="0"/>
      </w:pPr>
      <w:r>
        <w:rPr/>
        <w:t xml:space="preserve">三、氚自持增值包层设计验证与氚回收率提升路径</w:t>
      </w:r>
    </w:p>
    <w:p>
      <w:pPr>
        <w:spacing w:before="75" w:after="0"/>
      </w:pPr>
      <w:r>
        <w:rPr/>
        <w:t xml:space="preserve">第二节 惯性约束路线商业可行性</w:t>
      </w:r>
    </w:p>
    <w:p>
      <w:pPr>
        <w:spacing w:before="75" w:after="0"/>
      </w:pPr>
      <w:r>
        <w:rPr/>
        <w:t xml:space="preserve">一、激光驱动效率提升与重频运行技术障碍</w:t>
      </w:r>
    </w:p>
    <w:p>
      <w:pPr>
        <w:spacing w:before="75" w:after="0"/>
      </w:pPr>
      <w:r>
        <w:rPr/>
        <w:t xml:space="preserve">二、靶丸制备成本结构与规模化生产可行性</w:t>
      </w:r>
    </w:p>
    <w:p>
      <w:pPr>
        <w:spacing w:before="75" w:after="0"/>
      </w:pPr>
      <w:r>
        <w:rPr/>
        <w:t xml:space="preserve">三、聚变增益q值与能量提取效率的平衡点测算</w:t>
      </w:r>
    </w:p>
    <w:p>
      <w:pPr>
        <w:spacing w:before="75" w:after="0"/>
      </w:pPr>
      <w:r>
        <w:rPr/>
        <w:t xml:space="preserve">第三节 紧凑化、模块化技术革命</w:t>
      </w:r>
    </w:p>
    <w:p>
      <w:pPr>
        <w:spacing w:before="75" w:after="0"/>
      </w:pPr>
      <w:r>
        <w:rPr/>
        <w:t xml:space="preserve">一、高温超导磁体(hts)小型化对成本曲线的重塑</w:t>
      </w:r>
    </w:p>
    <w:p>
      <w:pPr>
        <w:spacing w:before="75" w:after="0"/>
      </w:pPr>
      <w:r>
        <w:rPr/>
        <w:t xml:space="preserve">二、球形托卡马克(st)与场反位形(frc)装置参数对比</w:t>
      </w:r>
    </w:p>
    <w:p>
      <w:pPr>
        <w:spacing w:before="75" w:after="0"/>
      </w:pPr>
      <w:r>
        <w:rPr/>
        <w:t xml:space="preserve">三、商业公司技术验证装置(如sparc、zapenergy)的示范效应</w:t>
      </w:r>
    </w:p>
    <w:p>
      <w:pPr>
        <w:spacing w:before="75" w:after="0"/>
      </w:pPr>
      <w:r>
        <w:rPr>
          <w:b w:val="1"/>
          <w:bCs w:val="1"/>
        </w:rPr>
        <w:t xml:space="preserve">第五章 聚变堆关键系统与部件产业链分析</w:t>
      </w:r>
    </w:p>
    <w:p>
      <w:pPr>
        <w:spacing w:before="75" w:after="0"/>
      </w:pPr>
      <w:r>
        <w:rPr/>
        <w:t xml:space="preserve">第一节 磁体系统技术经济分析</w:t>
      </w:r>
    </w:p>
    <w:p>
      <w:pPr>
        <w:spacing w:before="75" w:after="0"/>
      </w:pPr>
      <w:r>
        <w:rPr/>
        <w:t xml:space="preserve">一、铌三锡(nb3sn)与铌钛(nbti)超导线材性能成本对比</w:t>
      </w:r>
    </w:p>
    <w:p>
      <w:pPr>
        <w:spacing w:before="75" w:after="0"/>
      </w:pPr>
      <w:r>
        <w:rPr/>
        <w:t xml:space="preserve">二、高温超导带材(rebco)产业化进程与降本预测(2026-2031)</w:t>
      </w:r>
    </w:p>
    <w:p>
      <w:pPr>
        <w:spacing w:before="75" w:after="0"/>
      </w:pPr>
      <w:r>
        <w:rPr/>
        <w:t xml:space="preserve">三、磁体绕制、绝缘与冷却系统一体化设计挑战</w:t>
      </w:r>
    </w:p>
    <w:p>
      <w:pPr>
        <w:spacing w:before="75" w:after="0"/>
      </w:pPr>
      <w:r>
        <w:rPr/>
        <w:t xml:space="preserve">第二节 加热与电流驱动系统</w:t>
      </w:r>
    </w:p>
    <w:p>
      <w:pPr>
        <w:spacing w:before="75" w:after="0"/>
      </w:pPr>
      <w:r>
        <w:rPr/>
        <w:t xml:space="preserve">一、中性束注入(nbi)与电子回旋共振加热(ecrh)效率优化</w:t>
      </w:r>
    </w:p>
    <w:p>
      <w:pPr>
        <w:spacing w:before="75" w:after="0"/>
      </w:pPr>
      <w:r>
        <w:rPr/>
        <w:t xml:space="preserve">二、离子回旋加热(icrh)与低杂波电流驱动(lhcd)协同控制</w:t>
      </w:r>
    </w:p>
    <w:p>
      <w:pPr>
        <w:spacing w:before="75" w:after="0"/>
      </w:pPr>
      <w:r>
        <w:rPr/>
        <w:t xml:space="preserve">三、兆瓦级射频源与高压电源系统国产化替代空间</w:t>
      </w:r>
    </w:p>
    <w:p>
      <w:pPr>
        <w:spacing w:before="75" w:after="0"/>
      </w:pPr>
      <w:r>
        <w:rPr/>
        <w:t xml:space="preserve">第三节 诊断与控制系统智能化升级</w:t>
      </w:r>
    </w:p>
    <w:p>
      <w:pPr>
        <w:spacing w:before="75" w:after="0"/>
      </w:pPr>
      <w:r>
        <w:rPr/>
        <w:t xml:space="preserve">一、汤姆逊散射、中子诊断与边界等离子体实时监测技术</w:t>
      </w:r>
    </w:p>
    <w:p>
      <w:pPr>
        <w:spacing w:before="75" w:after="0"/>
      </w:pPr>
      <w:r>
        <w:rPr/>
        <w:t xml:space="preserve">二、ai驱动的等离子体位形预测与破裂规避算法</w:t>
      </w:r>
    </w:p>
    <w:p>
      <w:pPr>
        <w:spacing w:before="75" w:after="0"/>
      </w:pPr>
      <w:r>
        <w:rPr/>
        <w:t xml:space="preserve">三、数字孪生聚变堆全系统仿真平台建设进展</w:t>
      </w:r>
    </w:p>
    <w:p>
      <w:pPr>
        <w:spacing w:before="75" w:after="0"/>
      </w:pPr>
      <w:r>
        <w:rPr>
          <w:b w:val="1"/>
          <w:bCs w:val="1"/>
        </w:rPr>
        <w:t xml:space="preserve">第六章 聚变燃料循环与放射性安全管理</w:t>
      </w:r>
    </w:p>
    <w:p>
      <w:pPr>
        <w:spacing w:before="75" w:after="0"/>
      </w:pPr>
      <w:r>
        <w:rPr/>
        <w:t xml:space="preserve">第一节 氚资源战略与供应链构建</w:t>
      </w:r>
    </w:p>
    <w:p>
      <w:pPr>
        <w:spacing w:before="75" w:after="0"/>
      </w:pPr>
      <w:r>
        <w:rPr/>
        <w:t xml:space="preserve">一、全球氚库存分布与生产瓶颈(2024年小于30kg)</w:t>
      </w:r>
    </w:p>
    <w:p>
      <w:pPr>
        <w:spacing w:before="75" w:after="0"/>
      </w:pPr>
      <w:r>
        <w:rPr/>
        <w:t xml:space="preserve">二、氚增殖包层(tbr大于1.2)工程技术验证时间表</w:t>
      </w:r>
    </w:p>
    <w:p>
      <w:pPr>
        <w:spacing w:before="75" w:after="0"/>
      </w:pPr>
      <w:r>
        <w:rPr/>
        <w:t xml:space="preserve">三、氚提取、纯化与再循环系统的经济性测算</w:t>
      </w:r>
    </w:p>
    <w:p>
      <w:pPr>
        <w:spacing w:before="75" w:after="0"/>
      </w:pPr>
      <w:r>
        <w:rPr/>
        <w:t xml:space="preserve">第二节 中子辐照材料损伤与寿命评估</w:t>
      </w:r>
    </w:p>
    <w:p>
      <w:pPr>
        <w:spacing w:before="75" w:after="0"/>
      </w:pPr>
      <w:r>
        <w:rPr/>
        <w:t xml:space="preserve">一、14mev中子对结构材料的嬗变与脆化效应数据库</w:t>
      </w:r>
    </w:p>
    <w:p>
      <w:pPr>
        <w:spacing w:before="75" w:after="0"/>
      </w:pPr>
      <w:r>
        <w:rPr/>
        <w:t xml:space="preserve">二、低活化马氏体钢(rafm)与钨合金服役寿命预测模型</w:t>
      </w:r>
    </w:p>
    <w:p>
      <w:pPr>
        <w:spacing w:before="75" w:after="0"/>
      </w:pPr>
      <w:r>
        <w:rPr/>
        <w:t xml:space="preserve">三、材料辐照后检验(pmi)与加速老化试验方法</w:t>
      </w:r>
    </w:p>
    <w:p>
      <w:pPr>
        <w:spacing w:before="75" w:after="0"/>
      </w:pPr>
      <w:r>
        <w:rPr/>
        <w:t xml:space="preserve">第三节 放射性废物管理与公众接受度</w:t>
      </w:r>
    </w:p>
    <w:p>
      <w:pPr>
        <w:spacing w:before="75" w:after="0"/>
      </w:pPr>
      <w:r>
        <w:rPr/>
        <w:t xml:space="preserve">一、聚变设施低中放废物产生量估算与处置路径</w:t>
      </w:r>
    </w:p>
    <w:p>
      <w:pPr>
        <w:spacing w:before="75" w:after="0"/>
      </w:pPr>
      <w:r>
        <w:rPr/>
        <w:t xml:space="preserve">二、氚泄漏风险评估与气态废物处理技术</w:t>
      </w:r>
    </w:p>
    <w:p>
      <w:pPr>
        <w:spacing w:before="75" w:after="0"/>
      </w:pPr>
      <w:r>
        <w:rPr/>
        <w:t xml:space="preserve">三、公众沟通策略与社会许可(sociallicense)获取机制</w:t>
      </w:r>
    </w:p>
    <w:p>
      <w:pPr>
        <w:spacing w:before="75" w:after="0"/>
      </w:pPr>
      <w:r>
        <w:rPr>
          <w:b w:val="1"/>
          <w:bCs w:val="1"/>
        </w:rPr>
        <w:t xml:space="preserve">第七章 2026-2031年全球及中国聚变市场规模测算</w:t>
      </w:r>
    </w:p>
    <w:p>
      <w:pPr>
        <w:spacing w:before="75" w:after="0"/>
      </w:pPr>
      <w:r>
        <w:rPr/>
        <w:t xml:space="preserve">第一节 全球市场规模与增长动能</w:t>
      </w:r>
    </w:p>
    <w:p>
      <w:pPr>
        <w:spacing w:before="75" w:after="0"/>
      </w:pPr>
      <w:r>
        <w:rPr/>
        <w:t xml:space="preserve">一、2026-2031年全球聚变研发投资规模</w:t>
      </w:r>
    </w:p>
    <w:p>
      <w:pPr>
        <w:spacing w:before="75" w:after="0"/>
      </w:pPr>
      <w:r>
        <w:rPr/>
        <w:t xml:space="preserve">二、聚变产业链细分市场规模：装置建设、部件供应、技术服务</w:t>
      </w:r>
    </w:p>
    <w:p>
      <w:pPr>
        <w:spacing w:before="75" w:after="0"/>
      </w:pPr>
      <w:r>
        <w:rPr/>
        <w:t xml:space="preserve">三、区域市场结构：北美、欧洲、亚太份额动态变化</w:t>
      </w:r>
    </w:p>
    <w:p>
      <w:pPr>
        <w:spacing w:before="75" w:after="0"/>
      </w:pPr>
      <w:r>
        <w:rPr/>
        <w:t xml:space="preserve">第二节 中国市场容量深度解析</w:t>
      </w:r>
    </w:p>
    <w:p>
      <w:pPr>
        <w:spacing w:before="75" w:after="0"/>
      </w:pPr>
      <w:r>
        <w:rPr/>
        <w:t xml:space="preserve">一、国家财政投入与重大项目设备采购预算</w:t>
      </w:r>
    </w:p>
    <w:p>
      <w:pPr>
        <w:spacing w:before="75" w:after="0"/>
      </w:pPr>
      <w:r>
        <w:rPr/>
        <w:t xml:space="preserve">二、地方政府聚变产业园投资规模与布局</w:t>
      </w:r>
    </w:p>
    <w:p>
      <w:pPr>
        <w:spacing w:before="75" w:after="0"/>
      </w:pPr>
      <w:r>
        <w:rPr/>
        <w:t xml:space="preserve">三、社会资本参与聚变风险投资的赛道分布与估值逻辑</w:t>
      </w:r>
    </w:p>
    <w:p>
      <w:pPr>
        <w:spacing w:before="75" w:after="0"/>
      </w:pPr>
      <w:r>
        <w:rPr/>
        <w:t xml:space="preserve">第三节 细分市场结构性机会</w:t>
      </w:r>
    </w:p>
    <w:p>
      <w:pPr>
        <w:spacing w:before="75" w:after="0"/>
      </w:pPr>
      <w:r>
        <w:rPr/>
        <w:t xml:space="preserve">一、高温超导材料市场爆发式增长拐点预测</w:t>
      </w:r>
    </w:p>
    <w:p>
      <w:pPr>
        <w:spacing w:before="75" w:after="0"/>
      </w:pPr>
      <w:r>
        <w:rPr/>
        <w:t xml:space="preserve">二、聚变诊断设备与真空系统的国产替代空间</w:t>
      </w:r>
    </w:p>
    <w:p>
      <w:pPr>
        <w:spacing w:before="75" w:after="0"/>
      </w:pPr>
      <w:r>
        <w:rPr/>
        <w:t xml:space="preserve">三、聚变-制氢、聚变-同位素生产等衍生业务萌芽</w:t>
      </w:r>
    </w:p>
    <w:p>
      <w:pPr>
        <w:spacing w:before="75" w:after="0"/>
      </w:pPr>
      <w:r>
        <w:rPr>
          <w:b w:val="1"/>
          <w:bCs w:val="1"/>
        </w:rPr>
        <w:t xml:space="preserve">第八章 聚变能源度电成本（lcoe）与经济性建模</w:t>
      </w:r>
    </w:p>
    <w:p>
      <w:pPr>
        <w:spacing w:before="75" w:after="0"/>
      </w:pPr>
      <w:r>
        <w:rPr/>
        <w:t xml:space="preserve">第一节 资本性支出(capex)结构分解</w:t>
      </w:r>
    </w:p>
    <w:p>
      <w:pPr>
        <w:spacing w:before="75" w:after="0"/>
      </w:pPr>
      <w:r>
        <w:rPr/>
        <w:t xml:space="preserve">一、磁体系统、真空室、主机系统成本占比动态变化</w:t>
      </w:r>
    </w:p>
    <w:p>
      <w:pPr>
        <w:spacing w:before="75" w:after="0"/>
      </w:pPr>
      <w:r>
        <w:rPr/>
        <w:t xml:space="preserve">二、紧凑型装置规模化生产后的单位成本递减曲线</w:t>
      </w:r>
    </w:p>
    <w:p>
      <w:pPr>
        <w:spacing w:before="75" w:after="0"/>
      </w:pPr>
      <w:r>
        <w:rPr/>
        <w:t xml:space="preserve">三、模块化设计与工厂化预制对建造成本的削减效应</w:t>
      </w:r>
    </w:p>
    <w:p>
      <w:pPr>
        <w:spacing w:before="75" w:after="0"/>
      </w:pPr>
      <w:r>
        <w:rPr/>
        <w:t xml:space="preserve">第二节 运维成本(opex)与燃料循环成本</w:t>
      </w:r>
    </w:p>
    <w:p>
      <w:pPr>
        <w:spacing w:before="75" w:after="0"/>
      </w:pPr>
      <w:r>
        <w:rPr/>
        <w:t xml:space="preserve">一、氚自持实现前后的燃料成本变化敏感性分析</w:t>
      </w:r>
    </w:p>
    <w:p>
      <w:pPr>
        <w:spacing w:before="75" w:after="0"/>
      </w:pPr>
      <w:r>
        <w:rPr/>
        <w:t xml:space="preserve">二、远程维护机器人系统对运维人力成本的优化</w:t>
      </w:r>
    </w:p>
    <w:p>
      <w:pPr>
        <w:spacing w:before="75" w:after="0"/>
      </w:pPr>
      <w:r>
        <w:rPr/>
        <w:t xml:space="preserve">三、等离子体破裂导致的第一壁更换频率与成本影响</w:t>
      </w:r>
    </w:p>
    <w:p>
      <w:pPr>
        <w:spacing w:before="75" w:after="0"/>
      </w:pPr>
      <w:r>
        <w:rPr/>
        <w:t xml:space="preserve">第三节 不同技术路线的lcoe情景预测</w:t>
      </w:r>
    </w:p>
    <w:p>
      <w:pPr>
        <w:spacing w:before="75" w:after="0"/>
      </w:pPr>
      <w:r>
        <w:rPr/>
        <w:t xml:space="preserve">一、托卡马克商业堆(q=30)2030-2050年lcoe演进路径</w:t>
      </w:r>
    </w:p>
    <w:p>
      <w:pPr>
        <w:spacing w:before="75" w:after="0"/>
      </w:pPr>
      <w:r>
        <w:rPr/>
        <w:t xml:space="preserve">二、惯性约束与磁惯性约束路线成本竞争力对比</w:t>
      </w:r>
    </w:p>
    <w:p>
      <w:pPr>
        <w:spacing w:before="75" w:after="0"/>
      </w:pPr>
      <w:r>
        <w:rPr/>
        <w:t xml:space="preserve">三、聚变能与风光储、核电、火电平准化成本交叉点预测</w:t>
      </w:r>
    </w:p>
    <w:p>
      <w:pPr>
        <w:spacing w:before="75" w:after="0"/>
      </w:pPr>
      <w:r>
        <w:rPr>
          <w:b w:val="1"/>
          <w:bCs w:val="1"/>
        </w:rPr>
        <w:t xml:space="preserve">第九章 行业竞争格局与主体行为分析</w:t>
      </w:r>
    </w:p>
    <w:p>
      <w:pPr>
        <w:spacing w:before="75" w:after="0"/>
      </w:pPr>
      <w:r>
        <w:rPr/>
        <w:t xml:space="preserve">第一节 科研机构技术护城河深度</w:t>
      </w:r>
    </w:p>
    <w:p>
      <w:pPr>
        <w:spacing w:before="75" w:after="0"/>
      </w:pPr>
      <w:r>
        <w:rPr/>
        <w:t xml:space="preserve">一、中科院等离子体所、核工业西南物理研究院研发方向差异</w:t>
      </w:r>
    </w:p>
    <w:p>
      <w:pPr>
        <w:spacing w:before="75" w:after="0"/>
      </w:pPr>
      <w:r>
        <w:rPr/>
        <w:t xml:space="preserve">二、高校团队在ai等离子体控制、材料计算领域的突破</w:t>
      </w:r>
    </w:p>
    <w:p>
      <w:pPr>
        <w:spacing w:before="75" w:after="0"/>
      </w:pPr>
      <w:r>
        <w:rPr/>
        <w:t xml:space="preserve">三、国家实验室与企业联合体的知识产权共享机制</w:t>
      </w:r>
    </w:p>
    <w:p>
      <w:pPr>
        <w:spacing w:before="75" w:after="0"/>
      </w:pPr>
      <w:r>
        <w:rPr/>
        <w:t xml:space="preserve">第二节 产业链企业竞争地位评估</w:t>
      </w:r>
    </w:p>
    <w:p>
      <w:pPr>
        <w:spacing w:before="75" w:after="0"/>
      </w:pPr>
      <w:r>
        <w:rPr/>
        <w:t xml:space="preserve">一、主机系统总成商的技术集成能力壁垒</w:t>
      </w:r>
    </w:p>
    <w:p>
      <w:pPr>
        <w:spacing w:before="75" w:after="0"/>
      </w:pPr>
      <w:r>
        <w:rPr/>
        <w:t xml:space="preserve">二、材料与部件供应商的性能验证周期与客户关系粘性</w:t>
      </w:r>
    </w:p>
    <w:p>
      <w:pPr>
        <w:spacing w:before="75" w:after="0"/>
      </w:pPr>
      <w:r>
        <w:rPr/>
        <w:t xml:space="preserve">三、下游工程服务商的资质获取与项目经验积累</w:t>
      </w:r>
    </w:p>
    <w:p>
      <w:pPr>
        <w:spacing w:before="75" w:after="0"/>
      </w:pPr>
      <w:r>
        <w:rPr/>
        <w:t xml:space="preserve">第三节 区域集群竞争与协同</w:t>
      </w:r>
    </w:p>
    <w:p>
      <w:pPr>
        <w:spacing w:before="75" w:after="0"/>
      </w:pPr>
      <w:r>
        <w:rPr/>
        <w:t xml:space="preserve">一、合肥、成都、上海三大聚变产业集群对比</w:t>
      </w:r>
    </w:p>
    <w:p>
      <w:pPr>
        <w:spacing w:before="75" w:after="0"/>
      </w:pPr>
      <w:r>
        <w:rPr/>
        <w:t xml:space="preserve">二、跨区域人才流动与技术扩散路径</w:t>
      </w:r>
    </w:p>
    <w:p>
      <w:pPr>
        <w:spacing w:before="75" w:after="0"/>
      </w:pPr>
      <w:r>
        <w:rPr/>
        <w:t xml:space="preserve">三、地方产业政策对集群竞争力的强化效应</w:t>
      </w:r>
    </w:p>
    <w:p>
      <w:pPr>
        <w:spacing w:before="75" w:after="0"/>
      </w:pPr>
      <w:r>
        <w:rPr>
          <w:b w:val="1"/>
          <w:bCs w:val="1"/>
        </w:rPr>
        <w:t xml:space="preserve">第十章 聚变人才体系与教育培养机制</w:t>
      </w:r>
    </w:p>
    <w:p>
      <w:pPr>
        <w:spacing w:before="75" w:after="0"/>
      </w:pPr>
      <w:r>
        <w:rPr/>
        <w:t xml:space="preserve">第一节 多层次人才需求结构</w:t>
      </w:r>
    </w:p>
    <w:p>
      <w:pPr>
        <w:spacing w:before="75" w:after="0"/>
      </w:pPr>
      <w:r>
        <w:rPr/>
        <w:t xml:space="preserve">一、等离子体物理、核工程基础科研人才供给缺口</w:t>
      </w:r>
    </w:p>
    <w:p>
      <w:pPr>
        <w:spacing w:before="75" w:after="0"/>
      </w:pPr>
      <w:r>
        <w:rPr/>
        <w:t xml:space="preserve">二、超导材料、ai算法等交叉学科复合型人才需求</w:t>
      </w:r>
    </w:p>
    <w:p>
      <w:pPr>
        <w:spacing w:before="75" w:after="0"/>
      </w:pPr>
      <w:r>
        <w:rPr/>
        <w:t xml:space="preserve">三、高级技工与运维工程师的规模化培养挑战</w:t>
      </w:r>
    </w:p>
    <w:p>
      <w:pPr>
        <w:spacing w:before="75" w:after="0"/>
      </w:pPr>
      <w:r>
        <w:rPr/>
        <w:t xml:space="preserve">第二节 教育培养体系现状与改革</w:t>
      </w:r>
    </w:p>
    <w:p>
      <w:pPr>
        <w:spacing w:before="75" w:after="0"/>
      </w:pPr>
      <w:r>
        <w:rPr/>
        <w:t xml:space="preserve">一、现有高校等离子体物理专业招生规模与就业去向</w:t>
      </w:r>
    </w:p>
    <w:p>
      <w:pPr>
        <w:spacing w:before="75" w:after="0"/>
      </w:pPr>
      <w:r>
        <w:rPr/>
        <w:t xml:space="preserve">二、企业博士后工作站与联合培养基地运行模式</w:t>
      </w:r>
    </w:p>
    <w:p>
      <w:pPr>
        <w:spacing w:before="75" w:after="0"/>
      </w:pPr>
      <w:r>
        <w:rPr/>
        <w:t xml:space="preserve">三、国际联合培养项目与人才回流趋势</w:t>
      </w:r>
    </w:p>
    <w:p>
      <w:pPr>
        <w:spacing w:before="75" w:after="0"/>
      </w:pPr>
      <w:r>
        <w:rPr/>
        <w:t xml:space="preserve">第三节 人才激励与保留策略</w:t>
      </w:r>
    </w:p>
    <w:p>
      <w:pPr>
        <w:spacing w:before="75" w:after="0"/>
      </w:pPr>
      <w:r>
        <w:rPr/>
        <w:t xml:space="preserve">一、国有科研机构薪酬竞争力与股权激励限制</w:t>
      </w:r>
    </w:p>
    <w:p>
      <w:pPr>
        <w:spacing w:before="75" w:after="0"/>
      </w:pPr>
      <w:r>
        <w:rPr/>
        <w:t xml:space="preserve">三、私营聚变企业期权池设计与人才争夺战</w:t>
      </w:r>
    </w:p>
    <w:p>
      <w:pPr>
        <w:spacing w:before="75" w:after="0"/>
      </w:pPr>
      <w:r>
        <w:rPr/>
        <w:t xml:space="preserve">三、国家级人才计划对聚变领域的倾斜</w:t>
      </w:r>
    </w:p>
    <w:p>
      <w:pPr>
        <w:spacing w:before="75" w:after="0"/>
      </w:pPr>
      <w:r>
        <w:rPr>
          <w:b w:val="1"/>
          <w:bCs w:val="1"/>
        </w:rPr>
        <w:t xml:space="preserve">第十一章 标准体系、监管框架与安全管理</w:t>
      </w:r>
    </w:p>
    <w:p>
      <w:pPr>
        <w:spacing w:before="75" w:after="0"/>
      </w:pPr>
      <w:r>
        <w:rPr/>
        <w:t xml:space="preserve">第一节 技术标准体系构建进展</w:t>
      </w:r>
    </w:p>
    <w:p>
      <w:pPr>
        <w:spacing w:before="75" w:after="0"/>
      </w:pPr>
      <w:r>
        <w:rPr/>
        <w:t xml:space="preserve">一、聚变堆设计标准(如真空室结构、磁体绝缘)的空白与填补</w:t>
      </w:r>
    </w:p>
    <w:p>
      <w:pPr>
        <w:spacing w:before="75" w:after="0"/>
      </w:pPr>
      <w:r>
        <w:rPr/>
        <w:t xml:space="preserve">二、国际电工委员会(iec)聚变技术委员会(tc123)标准转化</w:t>
      </w:r>
    </w:p>
    <w:p>
      <w:pPr>
        <w:spacing w:before="75" w:after="0"/>
      </w:pPr>
      <w:r>
        <w:rPr/>
        <w:t xml:space="preserve">三、中国聚变堆安全导则(haf系列)的适应性修订</w:t>
      </w:r>
    </w:p>
    <w:p>
      <w:pPr>
        <w:spacing w:before="75" w:after="0"/>
      </w:pPr>
      <w:r>
        <w:rPr/>
        <w:t xml:space="preserve">第二节 安全监管与许可证制度</w:t>
      </w:r>
    </w:p>
    <w:p>
      <w:pPr>
        <w:spacing w:before="75" w:after="0"/>
      </w:pPr>
      <w:r>
        <w:rPr/>
        <w:t xml:space="preserve">一、聚变设施与裂变电站监管差异的国际比较</w:t>
      </w:r>
    </w:p>
    <w:p>
      <w:pPr>
        <w:spacing w:before="75" w:after="0"/>
      </w:pPr>
      <w:r>
        <w:rPr/>
        <w:t xml:space="preserve">二、氚监管、中子辐射防护的特殊要求</w:t>
      </w:r>
    </w:p>
    <w:p>
      <w:pPr>
        <w:spacing w:before="75" w:after="0"/>
      </w:pPr>
      <w:r>
        <w:rPr/>
        <w:t xml:space="preserve">三、示范项目首次装料许可证申请路径与时间预估</w:t>
      </w:r>
    </w:p>
    <w:p>
      <w:pPr>
        <w:spacing w:before="75" w:after="0"/>
      </w:pPr>
      <w:r>
        <w:rPr/>
        <w:t xml:space="preserve">第三节 保险与风险分担机制</w:t>
      </w:r>
    </w:p>
    <w:p>
      <w:pPr>
        <w:spacing w:before="75" w:after="0"/>
      </w:pPr>
      <w:r>
        <w:rPr/>
        <w:t xml:space="preserve">一、聚变堆第三者责任险(tpl)产品设计难点</w:t>
      </w:r>
    </w:p>
    <w:p>
      <w:pPr>
        <w:spacing w:before="75" w:after="0"/>
      </w:pPr>
      <w:r>
        <w:rPr/>
        <w:t xml:space="preserve">二、政府兜底与商业保险共担模式探索</w:t>
      </w:r>
    </w:p>
    <w:p>
      <w:pPr>
        <w:spacing w:before="75" w:after="0"/>
      </w:pPr>
      <w:r>
        <w:rPr/>
        <w:t xml:space="preserve">三、国际核共体(nuclearpool)对聚变风险的定价模型</w:t>
      </w:r>
    </w:p>
    <w:p>
      <w:pPr>
        <w:spacing w:before="75" w:after="0"/>
      </w:pPr>
      <w:r>
        <w:rPr>
          <w:b w:val="1"/>
          <w:bCs w:val="1"/>
        </w:rPr>
        <w:t xml:space="preserve">第十二章 技术风险、工程风险与科学不确定性</w:t>
      </w:r>
    </w:p>
    <w:p>
      <w:pPr>
        <w:spacing w:before="75" w:after="0"/>
      </w:pPr>
      <w:r>
        <w:rPr/>
        <w:t xml:space="preserve">第一节 核心物理问题未解之谜</w:t>
      </w:r>
    </w:p>
    <w:p>
      <w:pPr>
        <w:spacing w:before="75" w:after="0"/>
      </w:pPr>
      <w:r>
        <w:rPr/>
        <w:t xml:space="preserve">一、等离子体破裂预测的准确率瓶颈</w:t>
      </w:r>
    </w:p>
    <w:p>
      <w:pPr>
        <w:spacing w:before="75" w:after="0"/>
      </w:pPr>
      <w:r>
        <w:rPr/>
        <w:t xml:space="preserve">二、边界局域模(elm)对第一壁的侵蚀速率不确定性</w:t>
      </w:r>
    </w:p>
    <w:p>
      <w:pPr>
        <w:spacing w:before="75" w:after="0"/>
      </w:pPr>
      <w:r>
        <w:rPr/>
        <w:t xml:space="preserve">三、氚自持实现的时间节点与技术路径争议</w:t>
      </w:r>
    </w:p>
    <w:p>
      <w:pPr>
        <w:spacing w:before="75" w:after="0"/>
      </w:pPr>
      <w:r>
        <w:rPr/>
        <w:t xml:space="preserve">第二节 关键材料性能衰减风险</w:t>
      </w:r>
    </w:p>
    <w:p>
      <w:pPr>
        <w:spacing w:before="75" w:after="0"/>
      </w:pPr>
      <w:r>
        <w:rPr/>
        <w:t xml:space="preserve">一、钨基材料再结晶脆化与氢同位素滞留协同效应</w:t>
      </w:r>
    </w:p>
    <w:p>
      <w:pPr>
        <w:spacing w:before="75" w:after="0"/>
      </w:pPr>
      <w:r>
        <w:rPr/>
        <w:t xml:space="preserve">二、超导磁体中子辐照后临界电流退化模型不完善</w:t>
      </w:r>
    </w:p>
    <w:p>
      <w:pPr>
        <w:spacing w:before="75" w:after="0"/>
      </w:pPr>
      <w:r>
        <w:rPr/>
        <w:t xml:space="preserve">三、面向等离子体材料(pfm)寿命预测误差范围过大</w:t>
      </w:r>
    </w:p>
    <w:p>
      <w:pPr>
        <w:spacing w:before="75" w:after="0"/>
      </w:pPr>
      <w:r>
        <w:rPr/>
        <w:t xml:space="preserve">第三节 系统集成与可靠性风险</w:t>
      </w:r>
    </w:p>
    <w:p>
      <w:pPr>
        <w:spacing w:before="75" w:after="0"/>
      </w:pPr>
      <w:r>
        <w:rPr/>
        <w:t xml:space="preserve">一、多物理场耦合导致的非线性失效模式</w:t>
      </w:r>
    </w:p>
    <w:p>
      <w:pPr>
        <w:spacing w:before="75" w:after="0"/>
      </w:pPr>
      <w:r>
        <w:rPr/>
        <w:t xml:space="preserve">二、氚渗透导致的真空系统污染与维修窗口期压缩</w:t>
      </w:r>
    </w:p>
    <w:p>
      <w:pPr>
        <w:spacing w:before="75" w:after="0"/>
      </w:pPr>
      <w:r>
        <w:rPr/>
        <w:t xml:space="preserve">三、极端工况下控制系统失效的概率安全评估(psa)</w:t>
      </w:r>
    </w:p>
    <w:p>
      <w:pPr>
        <w:spacing w:before="75" w:after="0"/>
      </w:pPr>
      <w:r>
        <w:rPr>
          <w:b w:val="1"/>
          <w:bCs w:val="1"/>
        </w:rPr>
        <w:t xml:space="preserve">第十三章 聚变能源商业模式创新与价值链重构</w:t>
      </w:r>
    </w:p>
    <w:p>
      <w:pPr>
        <w:spacing w:before="75" w:after="0"/>
      </w:pPr>
      <w:r>
        <w:rPr/>
        <w:t xml:space="preserve">第一节 传统科研驱动模式的局限</w:t>
      </w:r>
    </w:p>
    <w:p>
      <w:pPr>
        <w:spacing w:before="75" w:after="0"/>
      </w:pPr>
      <w:r>
        <w:rPr/>
        <w:t xml:space="preserve">一、纯公共投入下的成本超支与进度拖延历史</w:t>
      </w:r>
    </w:p>
    <w:p>
      <w:pPr>
        <w:spacing w:before="75" w:after="0"/>
      </w:pPr>
      <w:r>
        <w:rPr/>
        <w:t xml:space="preserve">二、技术转移效率低与产业化脱节问题</w:t>
      </w:r>
    </w:p>
    <w:p>
      <w:pPr>
        <w:spacing w:before="75" w:after="0"/>
      </w:pPr>
      <w:r>
        <w:rPr/>
        <w:t xml:space="preserve">三、私营企业介入后的利益分配与知识产权冲突</w:t>
      </w:r>
    </w:p>
    <w:p>
      <w:pPr>
        <w:spacing w:before="75" w:after="0"/>
      </w:pPr>
      <w:r>
        <w:rPr/>
        <w:t xml:space="preserve">第二节 新兴商业模式探索</w:t>
      </w:r>
    </w:p>
    <w:p>
      <w:pPr>
        <w:spacing w:before="75" w:after="0"/>
      </w:pPr>
      <w:r>
        <w:rPr/>
        <w:t xml:space="preserve">一、聚变装置即服务(faas)：租赁运行时间给研究机构</w:t>
      </w:r>
    </w:p>
    <w:p>
      <w:pPr>
        <w:spacing w:before="75" w:after="0"/>
      </w:pPr>
      <w:r>
        <w:rPr/>
        <w:t xml:space="preserve">二、技术授权与工程总承包(epc)混合模式</w:t>
      </w:r>
    </w:p>
    <w:p>
      <w:pPr>
        <w:spacing w:before="75" w:after="0"/>
      </w:pPr>
      <w:r>
        <w:rPr/>
        <w:t xml:space="preserve">三、聚变-数据中心共生：为ai算力提供零碳基荷电力</w:t>
      </w:r>
    </w:p>
    <w:p>
      <w:pPr>
        <w:spacing w:before="75" w:after="0"/>
      </w:pPr>
      <w:r>
        <w:rPr/>
        <w:t xml:space="preserve">第三节 价值链增值环节分析</w:t>
      </w:r>
    </w:p>
    <w:p>
      <w:pPr>
        <w:spacing w:before="75" w:after="0"/>
      </w:pPr>
      <w:r>
        <w:rPr/>
        <w:t xml:space="preserve">一、设计仿真软件的订阅服务市场</w:t>
      </w:r>
    </w:p>
    <w:p>
      <w:pPr>
        <w:spacing w:before="75" w:after="0"/>
      </w:pPr>
      <w:r>
        <w:rPr/>
        <w:t xml:space="preserve">二、聚变中子源用于同位素生产的衍生价值</w:t>
      </w:r>
    </w:p>
    <w:p>
      <w:pPr>
        <w:spacing w:before="75" w:after="0"/>
      </w:pPr>
      <w:r>
        <w:rPr/>
        <w:t xml:space="preserve">三、等离子体技术向半导体、材料表面改性领域的溢出效应</w:t>
      </w:r>
    </w:p>
    <w:p>
      <w:pPr>
        <w:spacing w:before="75" w:after="0"/>
      </w:pPr>
      <w:r>
        <w:rPr>
          <w:b w:val="1"/>
          <w:bCs w:val="1"/>
        </w:rPr>
        <w:t xml:space="preserve">第十四章 中国重点区域聚变产业发展战略</w:t>
      </w:r>
    </w:p>
    <w:p>
      <w:pPr>
        <w:spacing w:before="75" w:after="0"/>
      </w:pPr>
      <w:r>
        <w:rPr/>
        <w:t xml:space="preserve">第一节 长三角地区：上海-合肥双核驱动模式</w:t>
      </w:r>
    </w:p>
    <w:p>
      <w:pPr>
        <w:spacing w:before="75" w:after="0"/>
      </w:pPr>
      <w:r>
        <w:rPr/>
        <w:t xml:space="preserve">一、上海光源同步辐射平台对聚变材料表征的支撑</w:t>
      </w:r>
    </w:p>
    <w:p>
      <w:pPr>
        <w:spacing w:before="75" w:after="0"/>
      </w:pPr>
      <w:r>
        <w:rPr/>
        <w:t xml:space="preserve">二、合肥综合性国家科学中心大装置集群协同效应</w:t>
      </w:r>
    </w:p>
    <w:p>
      <w:pPr>
        <w:spacing w:before="75" w:after="0"/>
      </w:pPr>
      <w:r>
        <w:rPr/>
        <w:t xml:space="preserve">三、长三角g60科创走廊聚变产业链配套能力</w:t>
      </w:r>
    </w:p>
    <w:p>
      <w:pPr>
        <w:spacing w:before="75" w:after="0"/>
      </w:pPr>
      <w:r>
        <w:rPr/>
        <w:t xml:space="preserve">第二节 成渝地区：成都聚变产业园的崛起</w:t>
      </w:r>
    </w:p>
    <w:p>
      <w:pPr>
        <w:spacing w:before="75" w:after="0"/>
      </w:pPr>
      <w:r>
        <w:rPr/>
        <w:t xml:space="preserve">一、核工业西南物理研究院产业化基地扩建规划</w:t>
      </w:r>
    </w:p>
    <w:p>
      <w:pPr>
        <w:spacing w:before="75" w:after="0"/>
      </w:pPr>
      <w:r>
        <w:rPr/>
        <w:t xml:space="preserve">二、四川重装制造能力对聚变主机的适配改造</w:t>
      </w:r>
    </w:p>
    <w:p>
      <w:pPr>
        <w:spacing w:before="75" w:after="0"/>
      </w:pPr>
      <w:r>
        <w:rPr/>
        <w:t xml:space="preserve">三、西部科学城人才政策对高端团队吸引力评估</w:t>
      </w:r>
    </w:p>
    <w:p>
      <w:pPr>
        <w:spacing w:before="75" w:after="0"/>
      </w:pPr>
      <w:r>
        <w:rPr/>
        <w:t xml:space="preserve">第三节 粤港澳大湾区：应用创新与市场牵引</w:t>
      </w:r>
    </w:p>
    <w:p>
      <w:pPr>
        <w:spacing w:before="75" w:after="0"/>
      </w:pPr>
      <w:r>
        <w:rPr/>
        <w:t xml:space="preserve">一、深圳私营聚变企业的风险投资活跃度</w:t>
      </w:r>
    </w:p>
    <w:p>
      <w:pPr>
        <w:spacing w:before="75" w:after="0"/>
      </w:pPr>
      <w:r>
        <w:rPr/>
        <w:t xml:space="preserve">二、广州核电产业集群与聚变技术的协同潜力</w:t>
      </w:r>
    </w:p>
    <w:p>
      <w:pPr>
        <w:spacing w:before="75" w:after="0"/>
      </w:pPr>
      <w:r>
        <w:rPr/>
        <w:t xml:space="preserve">三、香港高校基础研究与内地工程化衔接机制</w:t>
      </w:r>
    </w:p>
    <w:p>
      <w:pPr>
        <w:spacing w:before="75" w:after="0"/>
      </w:pPr>
      <w:r>
        <w:rPr>
          <w:b w:val="1"/>
          <w:bCs w:val="1"/>
        </w:rPr>
        <w:t xml:space="preserve">第十五章 聚变能源多场景应用路径与需求研判</w:t>
      </w:r>
    </w:p>
    <w:p>
      <w:pPr>
        <w:spacing w:before="75" w:after="0"/>
      </w:pPr>
      <w:r>
        <w:rPr/>
        <w:t xml:space="preserve">第一节 基荷电力供给与电网融合</w:t>
      </w:r>
    </w:p>
    <w:p>
      <w:pPr>
        <w:spacing w:before="75" w:after="0"/>
      </w:pPr>
      <w:r>
        <w:rPr/>
        <w:t xml:space="preserve">一、聚变堆调峰能力与电网灵活性需求匹配度</w:t>
      </w:r>
    </w:p>
    <w:p>
      <w:pPr>
        <w:spacing w:before="75" w:after="0"/>
      </w:pPr>
      <w:r>
        <w:rPr/>
        <w:t xml:space="preserve">二、聚变-风光储互补系统的优化调度模型</w:t>
      </w:r>
    </w:p>
    <w:p>
      <w:pPr>
        <w:spacing w:before="75" w:after="0"/>
      </w:pPr>
      <w:r>
        <w:rPr/>
        <w:t xml:space="preserve">三、并网技术规范(频率、电压、电能质量)适应性改造</w:t>
      </w:r>
    </w:p>
    <w:p>
      <w:pPr>
        <w:spacing w:before="75" w:after="0"/>
      </w:pPr>
      <w:r>
        <w:rPr/>
        <w:t xml:space="preserve">第二节 工业蒸汽与化工合成</w:t>
      </w:r>
    </w:p>
    <w:p>
      <w:pPr>
        <w:spacing w:before="75" w:after="0"/>
      </w:pPr>
      <w:r>
        <w:rPr/>
        <w:t xml:space="preserve">一、聚变堆高温蒸汽(大于500℃)提取效率与成本</w:t>
      </w:r>
    </w:p>
    <w:p>
      <w:pPr>
        <w:spacing w:before="75" w:after="0"/>
      </w:pPr>
      <w:r>
        <w:rPr/>
        <w:t xml:space="preserve">二、聚变能用于绿氢、合成氨、合成甲醇的经济性</w:t>
      </w:r>
    </w:p>
    <w:p>
      <w:pPr>
        <w:spacing w:before="75" w:after="0"/>
      </w:pPr>
      <w:r>
        <w:rPr/>
        <w:t xml:space="preserve">三、与非化工园区配套建设的模式创新</w:t>
      </w:r>
    </w:p>
    <w:p>
      <w:pPr>
        <w:spacing w:before="75" w:after="0"/>
      </w:pPr>
      <w:r>
        <w:rPr/>
        <w:t xml:space="preserve">第三节 特殊场景应用潜力</w:t>
      </w:r>
    </w:p>
    <w:p>
      <w:pPr>
        <w:spacing w:before="75" w:after="0"/>
      </w:pPr>
      <w:r>
        <w:rPr/>
        <w:t xml:space="preserve">一、海岛/偏远地区模块化聚变堆分布式能源系统</w:t>
      </w:r>
    </w:p>
    <w:p>
      <w:pPr>
        <w:spacing w:before="75" w:after="0"/>
      </w:pPr>
      <w:r>
        <w:rPr/>
        <w:t xml:space="preserve">二、聚变中子源驱动次锕系核废料嬗变处理</w:t>
      </w:r>
    </w:p>
    <w:p>
      <w:pPr>
        <w:spacing w:before="75" w:after="0"/>
      </w:pPr>
      <w:r>
        <w:rPr/>
        <w:t xml:space="preserve">三、空间核聚变推进系统的远期展望</w:t>
      </w:r>
    </w:p>
    <w:p>
      <w:pPr>
        <w:spacing w:before="75" w:after="0"/>
      </w:pPr>
      <w:r>
        <w:rPr>
          <w:b w:val="1"/>
          <w:bCs w:val="1"/>
        </w:rPr>
        <w:t xml:space="preserve">第十六章 “十五五”规划期中国聚变战略专题研究</w:t>
      </w:r>
    </w:p>
    <w:p>
      <w:pPr>
        <w:spacing w:before="75" w:after="0"/>
      </w:pPr>
      <w:r>
        <w:rPr/>
        <w:t xml:space="preserve">第一节 规划目标与指标设定合理性评估</w:t>
      </w:r>
    </w:p>
    <w:p>
      <w:pPr>
        <w:spacing w:before="75" w:after="0"/>
      </w:pPr>
      <w:r>
        <w:rPr/>
        <w:t xml:space="preserve">一、q值目标(从q大于1到q大于10)的技术可行性</w:t>
      </w:r>
    </w:p>
    <w:p>
      <w:pPr>
        <w:spacing w:before="75" w:after="0"/>
      </w:pPr>
      <w:r>
        <w:rPr/>
        <w:t xml:space="preserve">二、建设时序与资金投入的匹配性压力测试</w:t>
      </w:r>
    </w:p>
    <w:p>
      <w:pPr>
        <w:spacing w:before="75" w:after="0"/>
      </w:pPr>
      <w:r>
        <w:rPr/>
        <w:t xml:space="preserve">三、自主化率(大于90%)与核心部件依赖进口的矛盾</w:t>
      </w:r>
    </w:p>
    <w:p>
      <w:pPr>
        <w:spacing w:before="75" w:after="0"/>
      </w:pPr>
      <w:r>
        <w:rPr/>
        <w:t xml:space="preserve">第二节 关键技术攻关任务分解</w:t>
      </w:r>
    </w:p>
    <w:p>
      <w:pPr>
        <w:spacing w:before="75" w:after="0"/>
      </w:pPr>
      <w:r>
        <w:rPr/>
        <w:t xml:space="preserve">一、2026-2031年“卡脖子”技术清单</w:t>
      </w:r>
    </w:p>
    <w:p>
      <w:pPr>
        <w:spacing w:before="75" w:after="0"/>
      </w:pPr>
      <w:r>
        <w:rPr/>
        <w:t xml:space="preserve">二、中央-地方-企业联合攻关的组织模式创新</w:t>
      </w:r>
    </w:p>
    <w:p>
      <w:pPr>
        <w:spacing w:before="75" w:after="0"/>
      </w:pPr>
      <w:r>
        <w:rPr/>
        <w:t xml:space="preserve">三、国际科技合作在规划实施中的角色再定位</w:t>
      </w:r>
    </w:p>
    <w:p>
      <w:pPr>
        <w:spacing w:before="75" w:after="0"/>
      </w:pPr>
      <w:r>
        <w:rPr/>
        <w:t xml:space="preserve">第三节 规划实施的风险预警与动态调整机制</w:t>
      </w:r>
    </w:p>
    <w:p>
      <w:pPr>
        <w:spacing w:before="75" w:after="0"/>
      </w:pPr>
      <w:r>
        <w:rPr/>
        <w:t xml:space="preserve">一、技术路线重大颠覆性突破导致规划目标过时</w:t>
      </w:r>
    </w:p>
    <w:p>
      <w:pPr>
        <w:spacing w:before="75" w:after="0"/>
      </w:pPr>
      <w:r>
        <w:rPr/>
        <w:t xml:space="preserve">二、私营部门进度远超公共项目引发的资源错配</w:t>
      </w:r>
    </w:p>
    <w:p>
      <w:pPr>
        <w:spacing w:before="75" w:after="0"/>
      </w:pPr>
      <w:r>
        <w:rPr/>
        <w:t xml:space="preserve">三、规划中期评估节点与纠偏机制设计</w:t>
      </w:r>
    </w:p>
    <w:p>
      <w:pPr>
        <w:spacing w:before="75" w:after="0"/>
      </w:pPr>
      <w:r>
        <w:rPr>
          <w:b w:val="1"/>
          <w:bCs w:val="1"/>
        </w:rPr>
        <w:t xml:space="preserve">第十七章 2026-2031年技术演进趋势与前膽预判</w:t>
      </w:r>
    </w:p>
    <w:p>
      <w:pPr>
        <w:spacing w:before="75" w:after="0"/>
      </w:pPr>
      <w:r>
        <w:rPr/>
        <w:t xml:space="preserve">第一节 等离子体物理理论突破方向</w:t>
      </w:r>
    </w:p>
    <w:p>
      <w:pPr>
        <w:spacing w:before="75" w:after="0"/>
      </w:pPr>
      <w:r>
        <w:rPr/>
        <w:t xml:space="preserve">一、ai赋能的第一性原理模拟(密度泛函+机器学习势)</w:t>
      </w:r>
    </w:p>
    <w:p>
      <w:pPr>
        <w:spacing w:before="75" w:after="0"/>
      </w:pPr>
      <w:r>
        <w:rPr/>
        <w:t xml:space="preserve">二、无elm运行模式的稳定性边界拓展</w:t>
      </w:r>
    </w:p>
    <w:p>
      <w:pPr>
        <w:spacing w:before="75" w:after="0"/>
      </w:pPr>
      <w:r>
        <w:rPr/>
        <w:t xml:space="preserve">三、破裂预测从模式识别向因果推理的范式升级</w:t>
      </w:r>
    </w:p>
    <w:p>
      <w:pPr>
        <w:spacing w:before="75" w:after="0"/>
      </w:pPr>
      <w:r>
        <w:rPr/>
        <w:t xml:space="preserve">第二节 工程技术的代际跨越</w:t>
      </w:r>
    </w:p>
    <w:p>
      <w:pPr>
        <w:spacing w:before="75" w:after="0"/>
      </w:pPr>
      <w:r>
        <w:rPr/>
        <w:t xml:space="preserve">一、高温超导磁体从“能用”到“好用”的可靠性跃迁</w:t>
      </w:r>
    </w:p>
    <w:p>
      <w:pPr>
        <w:spacing w:before="75" w:after="0"/>
      </w:pPr>
      <w:r>
        <w:rPr/>
        <w:t xml:space="preserve">二、增材制造(3d打印)在复杂部件制备中的应用成熟度</w:t>
      </w:r>
    </w:p>
    <w:p>
      <w:pPr>
        <w:spacing w:before="75" w:after="0"/>
      </w:pPr>
      <w:r>
        <w:rPr/>
        <w:t xml:space="preserve">三、抗中子辐照损伤材料基因设计加速迭代</w:t>
      </w:r>
    </w:p>
    <w:p>
      <w:pPr>
        <w:spacing w:before="75" w:after="0"/>
      </w:pPr>
      <w:r>
        <w:rPr/>
        <w:t xml:space="preserve">第三节 颠覆性技术路线的潜在冲击</w:t>
      </w:r>
    </w:p>
    <w:p>
      <w:pPr>
        <w:spacing w:before="75" w:after="0"/>
      </w:pPr>
      <w:r>
        <w:rPr/>
        <w:t xml:space="preserve">一、高温稠密等离子体焦点(dpf)技术复兴可能性</w:t>
      </w:r>
    </w:p>
    <w:p>
      <w:pPr>
        <w:spacing w:before="75" w:after="0"/>
      </w:pPr>
      <w:r>
        <w:rPr/>
        <w:t xml:space="preserve">二、μ子催化聚变的基础研究进展与工程化瓶颈</w:t>
      </w:r>
    </w:p>
    <w:p>
      <w:pPr>
        <w:spacing w:before="75" w:after="0"/>
      </w:pPr>
      <w:r>
        <w:rPr/>
        <w:t xml:space="preserve">三、晶体聚变(crystalfusion)等非主流路线评估</w:t>
      </w:r>
    </w:p>
    <w:p>
      <w:pPr>
        <w:spacing w:before="75" w:after="0"/>
      </w:pPr>
      <w:r>
        <w:rPr>
          <w:b w:val="1"/>
          <w:bCs w:val="1"/>
        </w:rPr>
        <w:t xml:space="preserve">第十八章 投资前景分析与资本配置策略</w:t>
      </w:r>
    </w:p>
    <w:p>
      <w:pPr>
        <w:spacing w:before="75" w:after="0"/>
      </w:pPr>
      <w:r>
        <w:rPr/>
        <w:t xml:space="preserve">第一节 投资规模与资金流向预测</w:t>
      </w:r>
    </w:p>
    <w:p>
      <w:pPr>
        <w:spacing w:before="75" w:after="0"/>
      </w:pPr>
      <w:r>
        <w:rPr/>
        <w:t xml:space="preserve">一、2026-2031年中国聚变领域年均投资增速</w:t>
      </w:r>
    </w:p>
    <w:p>
      <w:pPr>
        <w:spacing w:before="75" w:after="0"/>
      </w:pPr>
      <w:r>
        <w:rPr/>
        <w:t xml:space="preserve">二、政府资金投向：基础研究vs工程验证的分配比例优化</w:t>
      </w:r>
    </w:p>
    <w:p>
      <w:pPr>
        <w:spacing w:before="75" w:after="0"/>
      </w:pPr>
      <w:r>
        <w:rPr/>
        <w:t xml:space="preserve">三、风险资本关注的细分赛道估值泡沫与价值洼地</w:t>
      </w:r>
    </w:p>
    <w:p>
      <w:pPr>
        <w:spacing w:before="75" w:after="0"/>
      </w:pPr>
      <w:r>
        <w:rPr/>
        <w:t xml:space="preserve">第二节 产业链投资机会矩阵</w:t>
      </w:r>
    </w:p>
    <w:p>
      <w:pPr>
        <w:spacing w:before="75" w:after="0"/>
      </w:pPr>
      <w:r>
        <w:rPr/>
        <w:t xml:space="preserve">一、上游：稀有金属(nb、w)供应安全与战略储备</w:t>
      </w:r>
    </w:p>
    <w:p>
      <w:pPr>
        <w:spacing w:before="75" w:after="0"/>
      </w:pPr>
      <w:r>
        <w:rPr/>
        <w:t xml:space="preserve">二、中游：高功率微波源、超导磁体等核心部件国产化替代</w:t>
      </w:r>
    </w:p>
    <w:p>
      <w:pPr>
        <w:spacing w:before="75" w:after="0"/>
      </w:pPr>
      <w:r>
        <w:rPr/>
        <w:t xml:space="preserve">三、下游：聚变产业园基础设施与配套服务</w:t>
      </w:r>
    </w:p>
    <w:p>
      <w:pPr>
        <w:spacing w:before="75" w:after="0"/>
      </w:pPr>
      <w:r>
        <w:rPr/>
        <w:t xml:space="preserve">第三节 投资回报模型与退出路径</w:t>
      </w:r>
    </w:p>
    <w:p>
      <w:pPr>
        <w:spacing w:before="75" w:after="0"/>
      </w:pPr>
      <w:r>
        <w:rPr/>
        <w:t xml:space="preserve">一、聚变企业ipo估值模型(ps法、期权定价法)</w:t>
      </w:r>
    </w:p>
    <w:p>
      <w:pPr>
        <w:spacing w:before="75" w:after="0"/>
      </w:pPr>
      <w:r>
        <w:rPr/>
        <w:t xml:space="preserve">二、并购市场：主机厂商整合部件供应商的逻辑</w:t>
      </w:r>
    </w:p>
    <w:p>
      <w:pPr>
        <w:spacing w:before="75" w:after="0"/>
      </w:pPr>
      <w:r>
        <w:rPr/>
        <w:t xml:space="preserve">三、政府引导基金的让利退出与社会资本回报平衡</w:t>
      </w:r>
    </w:p>
    <w:p>
      <w:pPr>
        <w:spacing w:before="75" w:after="0"/>
      </w:pPr>
      <w:r>
        <w:rPr>
          <w:b w:val="1"/>
          <w:bCs w:val="1"/>
        </w:rPr>
        <w:t xml:space="preserve">第十九章 行业发展面临的系统性挑战与应对策略</w:t>
      </w:r>
    </w:p>
    <w:p>
      <w:pPr>
        <w:spacing w:before="75" w:after="0"/>
      </w:pPr>
      <w:r>
        <w:rPr/>
        <w:t xml:space="preserve">第一节 技术民族主义与供应链安全</w:t>
      </w:r>
    </w:p>
    <w:p>
      <w:pPr>
        <w:spacing w:before="75" w:after="0"/>
      </w:pPr>
      <w:r>
        <w:rPr/>
        <w:t xml:space="preserve">一、美国《聚变能法案》对华出口管制风险扩散</w:t>
      </w:r>
    </w:p>
    <w:p>
      <w:pPr>
        <w:spacing w:before="75" w:after="0"/>
      </w:pPr>
      <w:r>
        <w:rPr/>
        <w:t xml:space="preserve">二、关键材料与软件工具(如cfd代码)断供应急预案</w:t>
      </w:r>
    </w:p>
    <w:p>
      <w:pPr>
        <w:spacing w:before="75" w:after="0"/>
      </w:pPr>
      <w:r>
        <w:rPr/>
        <w:t xml:space="preserve">三、内循环为主、外循环为辅的供应链重构路径</w:t>
      </w:r>
    </w:p>
    <w:p>
      <w:pPr>
        <w:spacing w:before="75" w:after="0"/>
      </w:pPr>
      <w:r>
        <w:rPr/>
        <w:t xml:space="preserve">第二节 公众认知与反核情绪潜在反弹</w:t>
      </w:r>
    </w:p>
    <w:p>
      <w:pPr>
        <w:spacing w:before="75" w:after="0"/>
      </w:pPr>
      <w:r>
        <w:rPr/>
        <w:t xml:space="preserve">一、福岛核事故阴影对聚变公众接受度的溢出效应</w:t>
      </w:r>
    </w:p>
    <w:p>
      <w:pPr>
        <w:spacing w:before="75" w:after="0"/>
      </w:pPr>
      <w:r>
        <w:rPr/>
        <w:t xml:space="preserve">二、氚泄漏谣言传播的风险沟通失败案例</w:t>
      </w:r>
    </w:p>
    <w:p>
      <w:pPr>
        <w:spacing w:before="75" w:after="0"/>
      </w:pPr>
      <w:r>
        <w:rPr/>
        <w:t xml:space="preserve">三、科学传播策略：从“绝对安全”到“可控风险”的话语转变</w:t>
      </w:r>
    </w:p>
    <w:p>
      <w:pPr>
        <w:spacing w:before="75" w:after="0"/>
      </w:pPr>
      <w:r>
        <w:rPr/>
        <w:t xml:space="preserve">第三节 能源转型大局中的定位竞争</w:t>
      </w:r>
    </w:p>
    <w:p>
      <w:pPr>
        <w:spacing w:before="75" w:after="0"/>
      </w:pPr>
      <w:r>
        <w:rPr/>
        <w:t xml:space="preserve">一、风光储成本持续下降对聚变时间窗口的挤压</w:t>
      </w:r>
    </w:p>
    <w:p>
      <w:pPr>
        <w:spacing w:before="75" w:after="0"/>
      </w:pPr>
      <w:r>
        <w:rPr/>
        <w:t xml:space="preserve">二、新型电力系统“源网荷储”一体化对聚变的需求弹性</w:t>
      </w:r>
    </w:p>
    <w:p>
      <w:pPr>
        <w:spacing w:before="75" w:after="0"/>
      </w:pPr>
      <w:r>
        <w:rPr/>
        <w:t xml:space="preserve">三、聚变从“颠覆性技术”到“补充性技术”的战略心态调整</w:t>
      </w:r>
    </w:p>
    <w:p>
      <w:pPr>
        <w:spacing w:before="75" w:after="0"/>
      </w:pPr>
      <w:r>
        <w:rPr>
          <w:b w:val="1"/>
          <w:bCs w:val="1"/>
        </w:rPr>
        <w:t xml:space="preserve">第二十章 研究结论与战略展望</w:t>
      </w:r>
    </w:p>
    <w:p>
      <w:pPr>
        <w:spacing w:before="75" w:after="0"/>
      </w:pPr>
      <w:r>
        <w:rPr/>
        <w:t xml:space="preserve">第一节 核心结论汇总</w:t>
      </w:r>
    </w:p>
    <w:p>
      <w:pPr>
        <w:spacing w:before="75" w:after="0"/>
      </w:pPr>
      <w:r>
        <w:rPr/>
        <w:t xml:space="preserve">一、技术成熟度：从物理可行迈向工程可行的临界点判断</w:t>
      </w:r>
    </w:p>
    <w:p>
      <w:pPr>
        <w:spacing w:before="75" w:after="0"/>
      </w:pPr>
      <w:r>
        <w:rPr/>
        <w:t xml:space="preserve">二、经济性拐点：2030-2035年lcoe接近煤电的敏感性</w:t>
      </w:r>
    </w:p>
    <w:p>
      <w:pPr>
        <w:spacing w:before="75" w:after="0"/>
      </w:pPr>
      <w:r>
        <w:rPr/>
        <w:t xml:space="preserve">三、产业链完备度：从“样品级”到“批量级”的能力差距</w:t>
      </w:r>
    </w:p>
    <w:p>
      <w:pPr>
        <w:spacing w:before="75" w:after="0"/>
      </w:pPr>
      <w:r>
        <w:rPr/>
        <w:t xml:space="preserve">第二节 战略实施路线图</w:t>
      </w:r>
    </w:p>
    <w:p>
      <w:pPr>
        <w:spacing w:before="75" w:after="0"/>
      </w:pPr>
      <w:r>
        <w:rPr/>
        <w:t xml:space="preserve">一、2025-2027年：夯实基础，实现q大于1的装置稳定运行</w:t>
      </w:r>
    </w:p>
    <w:p>
      <w:pPr>
        <w:spacing w:before="75" w:after="0"/>
      </w:pPr>
      <w:r>
        <w:rPr/>
        <w:t xml:space="preserve">二、2027-2030年：工程突破，启动cfetr主体工程建设</w:t>
      </w:r>
    </w:p>
    <w:p>
      <w:pPr>
        <w:spacing w:before="75" w:after="0"/>
      </w:pPr>
      <w:r>
        <w:rPr/>
        <w:t xml:space="preserve">三、2030年后：产业培育，构建商业聚变堆首堆示范</w:t>
      </w:r>
    </w:p>
    <w:p>
      <w:pPr>
        <w:spacing w:before="75" w:after="0"/>
      </w:pPr>
      <w:r>
        <w:rPr/>
        <w:t xml:space="preserve">第三节 对决策层、产业界、投资者的行动建议</w:t>
      </w:r>
    </w:p>
    <w:p>
      <w:pPr>
        <w:spacing w:before="75" w:after="0"/>
      </w:pPr>
      <w:r>
        <w:rPr/>
        <w:t xml:space="preserve">一、决策层：保持战略定力，优化资金配置效率</w:t>
      </w:r>
    </w:p>
    <w:p>
      <w:pPr>
        <w:spacing w:before="75" w:after="0"/>
      </w:pPr>
      <w:r>
        <w:rPr/>
        <w:t xml:space="preserve">二、产业界：强化垂直整合，培育自主生态</w:t>
      </w:r>
    </w:p>
    <w:p>
      <w:pPr>
        <w:spacing w:before="75" w:after="0"/>
      </w:pPr>
      <w:r>
        <w:rPr/>
        <w:t xml:space="preserve">三、投资者：把握窗口期，布局核心卡脖子环节</w:t>
      </w:r>
    </w:p>
    <w:p>
      <w:pPr>
        <w:spacing w:before="75" w:after="0"/>
      </w:pPr>
      <w:r>
        <w:rPr>
          <w:b w:val="1"/>
          <w:bCs w:val="1"/>
        </w:rPr>
        <w:t xml:space="preserve">图表目录</w:t>
      </w:r>
    </w:p>
    <w:p>
      <w:pPr>
        <w:spacing w:before="75" w:after="0"/>
      </w:pPr>
      <w:r>
        <w:rPr/>
        <w:t xml:space="preserve">图表：2026-2031年全球聚变研发投资规模(亿美元)</w:t>
      </w:r>
    </w:p>
    <w:p>
      <w:pPr>
        <w:spacing w:before="75" w:after="0"/>
      </w:pPr>
      <w:r>
        <w:rPr/>
        <w:t xml:space="preserve">图表：2023-2025年全球聚变产业链细分市场规模(亿美元)</w:t>
      </w:r>
    </w:p>
    <w:p>
      <w:pPr>
        <w:spacing w:before="75" w:after="0"/>
      </w:pPr>
      <w:r>
        <w:rPr/>
        <w:t xml:space="preserve">图表：托卡马克商业堆lcoe演进路径关键假设与预测</w:t>
      </w:r>
    </w:p>
    <w:p>
      <w:pPr>
        <w:spacing w:before="75" w:after="0"/>
      </w:pPr>
      <w:r>
        <w:rPr/>
        <w:t xml:space="preserve">图表：聚变能事业多层次人才结构的特点与挑战</w:t>
      </w:r>
    </w:p>
    <w:p>
      <w:pPr>
        <w:spacing w:before="75" w:after="0"/>
      </w:pPr>
      <w:r>
        <w:rPr/>
        <w:t xml:space="preserve">图表：风险资本关注的细分赛道</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2026-2031年中国可控核聚变能源行业发展分析与投资前景预测报告</dc:title>
  <dc:description>2026-2031年中国可控核聚变能源行业发展分析与投资前景预测报告</dc:description>
  <dc:subject>2026-2031年中国可控核聚变能源行业发展分析与投资前景预测报告</dc:subject>
  <cp:keywords>研究报告</cp:keywords>
  <cp:category>研究报告</cp:category>
  <cp:lastModifiedBy>北京中道泰和信息咨询有限公司</cp:lastModifiedBy>
  <dcterms:created xsi:type="dcterms:W3CDTF">2026-04-02T17:01:58+08:00</dcterms:created>
  <dcterms:modified xsi:type="dcterms:W3CDTF">2026-04-02T17:01:58+08:00</dcterms:modified>
</cp:coreProperties>
</file>

<file path=docProps/custom.xml><?xml version="1.0" encoding="utf-8"?>
<Properties xmlns="http://schemas.openxmlformats.org/officeDocument/2006/custom-properties" xmlns:vt="http://schemas.openxmlformats.org/officeDocument/2006/docPropsVTypes"/>
</file>