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2026-2031年中国养老金融行业全景调研与投资前景预测报告</w:t>
      </w:r>
    </w:p>
    <w:p>
      <w:pPr>
        <w:spacing w:after="150"/>
      </w:pPr>
      <w:r>
        <w:rPr>
          <w:b w:val="1"/>
          <w:bCs w:val="1"/>
        </w:rPr>
        <w:t xml:space="preserve">报告简介</w:t>
      </w:r>
    </w:p>
    <w:p>
      <w:pPr>
        <w:spacing w:after="150"/>
      </w:pPr>
      <w:r>
        <w:rPr/>
        <w:t xml:space="preserve">随着中国人口结构深度转型与社会老龄化进程的加速，养老金融作为应对人口老龄化挑战、完善社会保障体系的核心抓手，其战略价值与市场潜力正日益凸显。本报告所探讨的养老金融，是指围绕老年群体的财富管理、风险保障、服务支付等需求，通过金融工具创新与服务模式优化，构建的涵盖养老金储备、养老理财、商业保险、养老服务信贷等多元业态的综合金融生态体系。它不仅是金融行业服务实体经济的重要领域，更是实现“积极老龄化”战略目标的关键支撑。</w:t>
      </w:r>
    </w:p>
    <w:p>
      <w:pPr>
        <w:spacing w:after="150"/>
      </w:pPr>
      <w:r>
        <w:rPr/>
        <w:t xml:space="preserve">当前，中国养老金融行业正处于从“政策驱动”向“市场驱动”过渡的关键阶段。一方面，多层次养老保险体系建设持续深化，个人养老金制度试点扩围与商业养老金融产品创新提速，为行业发展奠定了制度基础;另一方面，居民养老财富储备意识觉醒，第三方专业机构加速布局养老金融赛道，市场参与主体日趋多元。然而，行业仍面临产品同质化、服务场景单一、跨部门协同不足等现实挑战，如何平衡风险与收益、实现金融资源与养老服务的深度融合，成为行业高质量发展的核心命题。未来，中国养老金融行业将呈现三大趋势：一是科技赋能下的服务智能化，人工智能、区块链等技术将推动产品精准匹配与风险动态管理;二是“金融+养老服务”生态化，金融机构将从单一产品供给转向“财富管理+健康管理+照护服务”的综合解决方案提供;三是政策与市场双轮驱动下的规范化发展，行业监管框架将逐步完善，市场秩序与消费者权益保护得到强化。</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老金融行业研究单位等公布和提供的大量资料。报告对我国养老金融行业的供需状况、发展现状、子行业发展变化等进行了分析，重点分析了国内外养老金融行业的发展现状、如何面对行业的发展挑战、行业的发展建议、行业竞争力，以及行业的投资分析和趋势预测等等。报告还综合了养老金融行业的整体发展动态，对行业在产品方面提供了参考建议和具体解决办法。报告对于养老金融产品生产企业、经销商、行业管理部门以及拟进入该行业的投资者具有重要的参考价值，对于研究我国养老金融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产业概念界定与报告研究范畴</w:t>
      </w:r>
    </w:p>
    <w:p>
      <w:pPr>
        <w:spacing w:before="75" w:after="0"/>
      </w:pPr>
      <w:r>
        <w:rPr/>
        <w:t xml:space="preserve">第一节 养老金融内涵与外延解析</w:t>
      </w:r>
    </w:p>
    <w:p>
      <w:pPr>
        <w:spacing w:before="75" w:after="0"/>
      </w:pPr>
      <w:r>
        <w:rPr/>
        <w:t xml:space="preserve">一、养老金融核心定义与边界划分</w:t>
      </w:r>
    </w:p>
    <w:p>
      <w:pPr>
        <w:spacing w:before="75" w:after="0"/>
      </w:pPr>
      <w:r>
        <w:rPr/>
        <w:t xml:space="preserve">二、与银发经济、养老产业的关联性分析</w:t>
      </w:r>
    </w:p>
    <w:p>
      <w:pPr>
        <w:spacing w:before="75" w:after="0"/>
      </w:pPr>
      <w:r>
        <w:rPr/>
        <w:t xml:space="preserve">三、报告研究对象与范畴界定</w:t>
      </w:r>
    </w:p>
    <w:p>
      <w:pPr>
        <w:spacing w:before="75" w:after="0"/>
      </w:pPr>
      <w:r>
        <w:rPr/>
        <w:t xml:space="preserve">第二节 研究方法论与数据来源说明</w:t>
      </w:r>
    </w:p>
    <w:p>
      <w:pPr>
        <w:spacing w:before="75" w:after="0"/>
      </w:pPr>
      <w:r>
        <w:rPr/>
        <w:t xml:space="preserve">一、定量分析模型与测算方法</w:t>
      </w:r>
    </w:p>
    <w:p>
      <w:pPr>
        <w:spacing w:before="75" w:after="0"/>
      </w:pPr>
      <w:r>
        <w:rPr/>
        <w:t xml:space="preserve">二、定性研究框架与专家访谈</w:t>
      </w:r>
    </w:p>
    <w:p>
      <w:pPr>
        <w:spacing w:before="75" w:after="0"/>
      </w:pPr>
      <w:r>
        <w:rPr/>
        <w:t xml:space="preserve">三、数据可获得性与局限性说明</w:t>
      </w:r>
    </w:p>
    <w:p>
      <w:pPr>
        <w:spacing w:before="75" w:after="0"/>
      </w:pPr>
      <w:r>
        <w:rPr/>
        <w:t xml:space="preserve">第三节 报告核心结论与价值发现</w:t>
      </w:r>
    </w:p>
    <w:p>
      <w:pPr>
        <w:spacing w:before="75" w:after="0"/>
      </w:pPr>
      <w:r>
        <w:rPr/>
        <w:t xml:space="preserve">一、2026-2031年产业增长中枢预判</w:t>
      </w:r>
    </w:p>
    <w:p>
      <w:pPr>
        <w:spacing w:before="75" w:after="0"/>
      </w:pPr>
      <w:r>
        <w:rPr/>
        <w:t xml:space="preserve">二、商业模式演进的核心逻辑</w:t>
      </w:r>
    </w:p>
    <w:p>
      <w:pPr>
        <w:spacing w:before="75" w:after="0"/>
      </w:pPr>
      <w:r>
        <w:rPr/>
        <w:t xml:space="preserve">三、投资布局的战略性窗口识别</w:t>
      </w:r>
    </w:p>
    <w:p>
      <w:pPr>
        <w:spacing w:before="75" w:after="0"/>
      </w:pPr>
      <w:r>
        <w:rPr>
          <w:b w:val="1"/>
          <w:bCs w:val="1"/>
        </w:rPr>
        <w:t xml:space="preserve">第二章 全球养老金融行业发展态势</w:t>
      </w:r>
    </w:p>
    <w:p>
      <w:pPr>
        <w:spacing w:before="75" w:after="0"/>
      </w:pPr>
      <w:r>
        <w:rPr/>
        <w:t xml:space="preserve">第一节 全球市场规模与增长轨迹</w:t>
      </w:r>
    </w:p>
    <w:p>
      <w:pPr>
        <w:spacing w:before="75" w:after="0"/>
      </w:pPr>
      <w:r>
        <w:rPr/>
        <w:t xml:space="preserve">一、2023-2025年年市场规模复盘与驱动因子</w:t>
      </w:r>
    </w:p>
    <w:p>
      <w:pPr>
        <w:spacing w:before="75" w:after="0"/>
      </w:pPr>
      <w:r>
        <w:rPr/>
        <w:t xml:space="preserve">二、2026-2031年复合增速预测模型</w:t>
      </w:r>
    </w:p>
    <w:p>
      <w:pPr>
        <w:spacing w:before="75" w:after="0"/>
      </w:pPr>
      <w:r>
        <w:rPr/>
        <w:t xml:space="preserve">三、区域市场结构演变特征</w:t>
      </w:r>
    </w:p>
    <w:p>
      <w:pPr>
        <w:spacing w:before="75" w:after="0"/>
      </w:pPr>
      <w:r>
        <w:rPr/>
        <w:t xml:space="preserve">第二节 主要经济体发展模式比较研究</w:t>
      </w:r>
    </w:p>
    <w:p>
      <w:pPr>
        <w:spacing w:before="75" w:after="0"/>
      </w:pPr>
      <w:r>
        <w:rPr/>
        <w:t xml:space="preserve">一、成熟市场：美国三支柱体系运作机制</w:t>
      </w:r>
    </w:p>
    <w:p>
      <w:pPr>
        <w:spacing w:before="75" w:after="0"/>
      </w:pPr>
      <w:r>
        <w:rPr/>
        <w:t xml:space="preserve">二、福利模式：欧洲养老金管理特点</w:t>
      </w:r>
    </w:p>
    <w:p>
      <w:pPr>
        <w:spacing w:before="75" w:after="0"/>
      </w:pPr>
      <w:r>
        <w:rPr/>
        <w:t xml:space="preserve">三、新兴探索：亚太区域创新实践</w:t>
      </w:r>
    </w:p>
    <w:p>
      <w:pPr>
        <w:spacing w:before="75" w:after="0"/>
      </w:pPr>
      <w:r>
        <w:rPr/>
        <w:t xml:space="preserve">第三节 国际经验对中国市场的启示</w:t>
      </w:r>
    </w:p>
    <w:p>
      <w:pPr>
        <w:spacing w:before="75" w:after="0"/>
      </w:pPr>
      <w:r>
        <w:rPr/>
        <w:t xml:space="preserve">一、制度设计的可借鉴要素</w:t>
      </w:r>
    </w:p>
    <w:p>
      <w:pPr>
        <w:spacing w:before="75" w:after="0"/>
      </w:pPr>
      <w:r>
        <w:rPr/>
        <w:t xml:space="preserve">二、产品创新的方向指引</w:t>
      </w:r>
    </w:p>
    <w:p>
      <w:pPr>
        <w:spacing w:before="75" w:after="0"/>
      </w:pPr>
      <w:r>
        <w:rPr/>
        <w:t xml:space="preserve">三、风险管控的基准框架</w:t>
      </w:r>
    </w:p>
    <w:p>
      <w:pPr>
        <w:spacing w:before="75" w:after="0"/>
      </w:pPr>
      <w:r>
        <w:rPr>
          <w:b w:val="1"/>
          <w:bCs w:val="1"/>
        </w:rPr>
        <w:t xml:space="preserve">第三章 中国养老金融行业宏观环境</w:t>
      </w:r>
    </w:p>
    <w:p>
      <w:pPr>
        <w:spacing w:before="75" w:after="0"/>
      </w:pPr>
      <w:r>
        <w:rPr/>
        <w:t xml:space="preserve">第一节 经济基本面影响评估</w:t>
      </w:r>
    </w:p>
    <w:p>
      <w:pPr>
        <w:spacing w:before="75" w:after="0"/>
      </w:pPr>
      <w:r>
        <w:rPr/>
        <w:t xml:space="preserve">一、gdp增长与养老金储备相关性分析</w:t>
      </w:r>
    </w:p>
    <w:p>
      <w:pPr>
        <w:spacing w:before="75" w:after="0"/>
      </w:pPr>
      <w:r>
        <w:rPr/>
        <w:t xml:space="preserve">二、居民可支配收入与养老投资能力</w:t>
      </w:r>
    </w:p>
    <w:p>
      <w:pPr>
        <w:spacing w:before="75" w:after="0"/>
      </w:pPr>
      <w:r>
        <w:rPr/>
        <w:t xml:space="preserve">三、利率与资本市场波动传导效应</w:t>
      </w:r>
    </w:p>
    <w:p>
      <w:pPr>
        <w:spacing w:before="75" w:after="0"/>
      </w:pPr>
      <w:r>
        <w:rPr/>
        <w:t xml:space="preserve">第二节 人口结构变迁深度解析</w:t>
      </w:r>
    </w:p>
    <w:p>
      <w:pPr>
        <w:spacing w:before="75" w:after="0"/>
      </w:pPr>
      <w:r>
        <w:rPr/>
        <w:t xml:space="preserve">一、2026-2031年老龄化率与抚养比演变趋势</w:t>
      </w:r>
    </w:p>
    <w:p>
      <w:pPr>
        <w:spacing w:before="75" w:after="0"/>
      </w:pPr>
      <w:r>
        <w:rPr/>
        <w:t xml:space="preserve">二、高龄化、空巢化特征加剧</w:t>
      </w:r>
    </w:p>
    <w:p>
      <w:pPr>
        <w:spacing w:before="75" w:after="0"/>
      </w:pPr>
      <w:r>
        <w:rPr/>
        <w:t xml:space="preserve">三、代际财富转移规模测算</w:t>
      </w:r>
    </w:p>
    <w:p>
      <w:pPr>
        <w:spacing w:before="75" w:after="0"/>
      </w:pPr>
      <w:r>
        <w:rPr/>
        <w:t xml:space="preserve">第三节 制度与监管框架演进</w:t>
      </w:r>
    </w:p>
    <w:p>
      <w:pPr>
        <w:spacing w:before="75" w:after="0"/>
      </w:pPr>
      <w:r>
        <w:rPr/>
        <w:t xml:space="preserve">一、三支柱制度完善路径</w:t>
      </w:r>
    </w:p>
    <w:p>
      <w:pPr>
        <w:spacing w:before="75" w:after="0"/>
      </w:pPr>
      <w:r>
        <w:rPr/>
        <w:t xml:space="preserve">二、个人账户制改革进展</w:t>
      </w:r>
    </w:p>
    <w:p>
      <w:pPr>
        <w:spacing w:before="75" w:after="0"/>
      </w:pPr>
      <w:r>
        <w:rPr/>
        <w:t xml:space="preserve">三、监管科技应用趋势</w:t>
      </w:r>
    </w:p>
    <w:p>
      <w:pPr>
        <w:spacing w:before="75" w:after="0"/>
      </w:pPr>
      <w:r>
        <w:rPr/>
        <w:t xml:space="preserve">第四节 技术环境变革影响</w:t>
      </w:r>
    </w:p>
    <w:p>
      <w:pPr>
        <w:spacing w:before="75" w:after="0"/>
      </w:pPr>
      <w:r>
        <w:rPr/>
        <w:t xml:space="preserve">一、ai与大数据在投资决策中的应用</w:t>
      </w:r>
    </w:p>
    <w:p>
      <w:pPr>
        <w:spacing w:before="75" w:after="0"/>
      </w:pPr>
      <w:r>
        <w:rPr/>
        <w:t xml:space="preserve">二、区块链技术提升透明度</w:t>
      </w:r>
    </w:p>
    <w:p>
      <w:pPr>
        <w:spacing w:before="75" w:after="0"/>
      </w:pPr>
      <w:r>
        <w:rPr/>
        <w:t xml:space="preserve">三、智能投顾渗透率预测</w:t>
      </w:r>
    </w:p>
    <w:p>
      <w:pPr>
        <w:spacing w:before="75" w:after="0"/>
      </w:pPr>
      <w:r>
        <w:rPr>
          <w:b w:val="1"/>
          <w:bCs w:val="1"/>
        </w:rPr>
        <w:t xml:space="preserve">第二部分 市场运行现状</w:t>
      </w:r>
    </w:p>
    <w:p>
      <w:pPr>
        <w:spacing w:before="75" w:after="0"/>
      </w:pPr>
      <w:r>
        <w:rPr>
          <w:b w:val="1"/>
          <w:bCs w:val="1"/>
        </w:rPr>
        <w:t xml:space="preserve">第四章 中国养老金融行业供给端分析</w:t>
      </w:r>
    </w:p>
    <w:p>
      <w:pPr>
        <w:spacing w:before="75" w:after="0"/>
      </w:pPr>
      <w:r>
        <w:rPr/>
        <w:t xml:space="preserve">第一节 市场主体类型与数量分布</w:t>
      </w:r>
    </w:p>
    <w:p>
      <w:pPr>
        <w:spacing w:before="75" w:after="0"/>
      </w:pPr>
      <w:r>
        <w:rPr/>
        <w:t xml:space="preserve">一、银行、保险、基金、信托机构参与度</w:t>
      </w:r>
    </w:p>
    <w:p>
      <w:pPr>
        <w:spacing w:before="75" w:after="0"/>
      </w:pPr>
      <w:r>
        <w:rPr/>
        <w:t xml:space="preserve">二、专业机构设立数量年度变化</w:t>
      </w:r>
    </w:p>
    <w:p>
      <w:pPr>
        <w:spacing w:before="75" w:after="0"/>
      </w:pPr>
      <w:r>
        <w:rPr/>
        <w:t xml:space="preserve">三、市场准入门槛与牌照分析</w:t>
      </w:r>
    </w:p>
    <w:p>
      <w:pPr>
        <w:spacing w:before="75" w:after="0"/>
      </w:pPr>
      <w:r>
        <w:rPr/>
        <w:t xml:space="preserve">第二节 产品供给能力评估</w:t>
      </w:r>
    </w:p>
    <w:p>
      <w:pPr>
        <w:spacing w:before="75" w:after="0"/>
      </w:pPr>
      <w:r>
        <w:rPr/>
        <w:t xml:space="preserve">一、养老理财产品发行规模与结构</w:t>
      </w:r>
    </w:p>
    <w:p>
      <w:pPr>
        <w:spacing w:before="75" w:after="0"/>
      </w:pPr>
      <w:r>
        <w:rPr/>
        <w:t xml:space="preserve">二、商业养老保险保障水平</w:t>
      </w:r>
    </w:p>
    <w:p>
      <w:pPr>
        <w:spacing w:before="75" w:after="0"/>
      </w:pPr>
      <w:r>
        <w:rPr/>
        <w:t xml:space="preserve">三、养老金投资产品收益率分布</w:t>
      </w:r>
    </w:p>
    <w:p>
      <w:pPr>
        <w:spacing w:before="75" w:after="0"/>
      </w:pPr>
      <w:r>
        <w:rPr/>
        <w:t xml:space="preserve">第三节 服务供给水平分析</w:t>
      </w:r>
    </w:p>
    <w:p>
      <w:pPr>
        <w:spacing w:before="75" w:after="0"/>
      </w:pPr>
      <w:r>
        <w:rPr/>
        <w:t xml:space="preserve">一、投顾服务覆盖率与质量</w:t>
      </w:r>
    </w:p>
    <w:p>
      <w:pPr>
        <w:spacing w:before="75" w:after="0"/>
      </w:pPr>
      <w:r>
        <w:rPr/>
        <w:t xml:space="preserve">二、数字化服务渗透率</w:t>
      </w:r>
    </w:p>
    <w:p>
      <w:pPr>
        <w:spacing w:before="75" w:after="0"/>
      </w:pPr>
      <w:r>
        <w:rPr/>
        <w:t xml:space="preserve">三、综合解决方案能力</w:t>
      </w:r>
    </w:p>
    <w:p>
      <w:pPr>
        <w:spacing w:before="75" w:after="0"/>
      </w:pPr>
      <w:r>
        <w:rPr/>
        <w:t xml:space="preserve">第四节 供给结构优化方向</w:t>
      </w:r>
    </w:p>
    <w:p>
      <w:pPr>
        <w:spacing w:before="75" w:after="0"/>
      </w:pPr>
      <w:r>
        <w:rPr/>
        <w:t xml:space="preserve">一、产品同质化破解路径</w:t>
      </w:r>
    </w:p>
    <w:p>
      <w:pPr>
        <w:spacing w:before="75" w:after="0"/>
      </w:pPr>
      <w:r>
        <w:rPr/>
        <w:t xml:space="preserve">二、长期资金供给机制</w:t>
      </w:r>
    </w:p>
    <w:p>
      <w:pPr>
        <w:spacing w:before="75" w:after="0"/>
      </w:pPr>
      <w:r>
        <w:rPr/>
        <w:t xml:space="preserve">三、普惠型产品扩容空间</w:t>
      </w:r>
    </w:p>
    <w:p>
      <w:pPr>
        <w:spacing w:before="75" w:after="0"/>
      </w:pPr>
      <w:r>
        <w:rPr>
          <w:b w:val="1"/>
          <w:bCs w:val="1"/>
        </w:rPr>
        <w:t xml:space="preserve">第五章 中国养老金融行业需求端分析</w:t>
      </w:r>
    </w:p>
    <w:p>
      <w:pPr>
        <w:spacing w:before="75" w:after="0"/>
      </w:pPr>
      <w:r>
        <w:rPr/>
        <w:t xml:space="preserve">第一节 需求规模量化分析</w:t>
      </w:r>
    </w:p>
    <w:p>
      <w:pPr>
        <w:spacing w:before="75" w:after="0"/>
      </w:pPr>
      <w:r>
        <w:rPr/>
        <w:t xml:space="preserve">一、2026-2031年养老金总需求预测</w:t>
      </w:r>
    </w:p>
    <w:p>
      <w:pPr>
        <w:spacing w:before="75" w:after="0"/>
      </w:pPr>
      <w:r>
        <w:rPr/>
        <w:t xml:space="preserve">二、个人养老金账户潜在客群规模</w:t>
      </w:r>
    </w:p>
    <w:p>
      <w:pPr>
        <w:spacing w:before="75" w:after="0"/>
      </w:pPr>
      <w:r>
        <w:rPr/>
        <w:t xml:space="preserve">三、第二、三支柱参与率提升空间</w:t>
      </w:r>
    </w:p>
    <w:p>
      <w:pPr>
        <w:spacing w:before="75" w:after="0"/>
      </w:pPr>
      <w:r>
        <w:rPr/>
        <w:t xml:space="preserve">第二节 需求结构分层研究</w:t>
      </w:r>
    </w:p>
    <w:p>
      <w:pPr>
        <w:spacing w:before="75" w:after="0"/>
      </w:pPr>
      <w:r>
        <w:rPr/>
        <w:t xml:space="preserve">一、高净值人群需求特征</w:t>
      </w:r>
    </w:p>
    <w:p>
      <w:pPr>
        <w:spacing w:before="75" w:after="0"/>
      </w:pPr>
      <w:r>
        <w:rPr/>
        <w:t xml:space="preserve">二、中产阶层投资偏好</w:t>
      </w:r>
    </w:p>
    <w:p>
      <w:pPr>
        <w:spacing w:before="75" w:after="0"/>
      </w:pPr>
      <w:r>
        <w:rPr/>
        <w:t xml:space="preserve">三、大众市场基础保障需求</w:t>
      </w:r>
    </w:p>
    <w:p>
      <w:pPr>
        <w:spacing w:before="75" w:after="0"/>
      </w:pPr>
      <w:r>
        <w:rPr/>
        <w:t xml:space="preserve">第三节 区域需求差异图谱</w:t>
      </w:r>
    </w:p>
    <w:p>
      <w:pPr>
        <w:spacing w:before="75" w:after="0"/>
      </w:pPr>
      <w:r>
        <w:rPr/>
        <w:t xml:space="preserve">一、一线城市需求成熟度</w:t>
      </w:r>
    </w:p>
    <w:p>
      <w:pPr>
        <w:spacing w:before="75" w:after="0"/>
      </w:pPr>
      <w:r>
        <w:rPr/>
        <w:t xml:space="preserve">二、新市场增长潜力</w:t>
      </w:r>
    </w:p>
    <w:p>
      <w:pPr>
        <w:spacing w:before="75" w:after="0"/>
      </w:pPr>
      <w:r>
        <w:rPr/>
        <w:t xml:space="preserve">三、县域市场渗透空间</w:t>
      </w:r>
    </w:p>
    <w:p>
      <w:pPr>
        <w:spacing w:before="75" w:after="0"/>
      </w:pPr>
      <w:r>
        <w:rPr/>
        <w:t xml:space="preserve">第四节 需求趋势动态演变</w:t>
      </w:r>
    </w:p>
    <w:p>
      <w:pPr>
        <w:spacing w:before="75" w:after="0"/>
      </w:pPr>
      <w:r>
        <w:rPr/>
        <w:t xml:space="preserve">一、从储蓄向投资转换速率</w:t>
      </w:r>
    </w:p>
    <w:p>
      <w:pPr>
        <w:spacing w:before="75" w:after="0"/>
      </w:pPr>
      <w:r>
        <w:rPr/>
        <w:t xml:space="preserve">二、esg投资偏好度提升</w:t>
      </w:r>
    </w:p>
    <w:p>
      <w:pPr>
        <w:spacing w:before="75" w:after="0"/>
      </w:pPr>
      <w:r>
        <w:rPr/>
        <w:t xml:space="preserve">三、全生命周期服务需求</w:t>
      </w:r>
    </w:p>
    <w:p>
      <w:pPr>
        <w:spacing w:before="75" w:after="0"/>
      </w:pPr>
      <w:r>
        <w:rPr>
          <w:b w:val="1"/>
          <w:bCs w:val="1"/>
        </w:rPr>
        <w:t xml:space="preserve">第六章 中国养老金融市场规模与增长动力</w:t>
      </w:r>
    </w:p>
    <w:p>
      <w:pPr>
        <w:spacing w:before="75" w:after="0"/>
      </w:pPr>
      <w:r>
        <w:rPr/>
        <w:t xml:space="preserve">第一节 市场规模测算与验证</w:t>
      </w:r>
    </w:p>
    <w:p>
      <w:pPr>
        <w:spacing w:before="75" w:after="0"/>
      </w:pPr>
      <w:r>
        <w:rPr/>
        <w:t xml:space="preserve">一、2025年基准市场规模确认</w:t>
      </w:r>
    </w:p>
    <w:p>
      <w:pPr>
        <w:spacing w:before="75" w:after="0"/>
      </w:pPr>
      <w:r>
        <w:rPr/>
        <w:t xml:space="preserve">二、2026-2031年规模预测(乐观/中性/悲观情景)</w:t>
      </w:r>
    </w:p>
    <w:p>
      <w:pPr>
        <w:spacing w:before="75" w:after="0"/>
      </w:pPr>
      <w:r>
        <w:rPr/>
        <w:t xml:space="preserve">三、各细分市场贡献度分解</w:t>
      </w:r>
    </w:p>
    <w:p>
      <w:pPr>
        <w:spacing w:before="75" w:after="0"/>
      </w:pPr>
      <w:r>
        <w:rPr/>
        <w:t xml:space="preserve">第二节 增长驱动因子权重分析</w:t>
      </w:r>
    </w:p>
    <w:p>
      <w:pPr>
        <w:spacing w:before="75" w:after="0"/>
      </w:pPr>
      <w:r>
        <w:rPr/>
        <w:t xml:space="preserve">一、政策驱动贡献度</w:t>
      </w:r>
    </w:p>
    <w:p>
      <w:pPr>
        <w:spacing w:before="75" w:after="0"/>
      </w:pPr>
      <w:r>
        <w:rPr/>
        <w:t xml:space="preserve">二、人口结构驱动贡献度</w:t>
      </w:r>
    </w:p>
    <w:p>
      <w:pPr>
        <w:spacing w:before="75" w:after="0"/>
      </w:pPr>
      <w:r>
        <w:rPr/>
        <w:t xml:space="preserve">三、财富效应驱动贡献度</w:t>
      </w:r>
    </w:p>
    <w:p>
      <w:pPr>
        <w:spacing w:before="75" w:after="0"/>
      </w:pPr>
      <w:r>
        <w:rPr/>
        <w:t xml:space="preserve">第三节 市场发展痛点识别</w:t>
      </w:r>
    </w:p>
    <w:p>
      <w:pPr>
        <w:spacing w:before="75" w:after="0"/>
      </w:pPr>
      <w:r>
        <w:rPr/>
        <w:t xml:space="preserve">一、产品适配性不足</w:t>
      </w:r>
    </w:p>
    <w:p>
      <w:pPr>
        <w:spacing w:before="75" w:after="0"/>
      </w:pPr>
      <w:r>
        <w:rPr/>
        <w:t xml:space="preserve">二、投资者教育滞后</w:t>
      </w:r>
    </w:p>
    <w:p>
      <w:pPr>
        <w:spacing w:before="75" w:after="0"/>
      </w:pPr>
      <w:r>
        <w:rPr/>
        <w:t xml:space="preserve">三、长期资金获取困难</w:t>
      </w:r>
    </w:p>
    <w:p>
      <w:pPr>
        <w:spacing w:before="75" w:after="0"/>
      </w:pPr>
      <w:r>
        <w:rPr>
          <w:b w:val="1"/>
          <w:bCs w:val="1"/>
        </w:rPr>
        <w:t xml:space="preserve">第三部分 商业模式深度解析</w:t>
      </w:r>
    </w:p>
    <w:p>
      <w:pPr>
        <w:spacing w:before="75" w:after="0"/>
      </w:pPr>
      <w:r>
        <w:rPr>
          <w:b w:val="1"/>
          <w:bCs w:val="1"/>
        </w:rPr>
        <w:t xml:space="preserve">第七章 养老金管理体系构建</w:t>
      </w:r>
    </w:p>
    <w:p>
      <w:pPr>
        <w:spacing w:before="75" w:after="0"/>
      </w:pPr>
      <w:r>
        <w:rPr/>
        <w:t xml:space="preserve">第一节 三支柱体系架构优化</w:t>
      </w:r>
    </w:p>
    <w:p>
      <w:pPr>
        <w:spacing w:before="75" w:after="0"/>
      </w:pPr>
      <w:r>
        <w:rPr/>
        <w:t xml:space="preserve">一、第一支柱基本养老金投资效率提升</w:t>
      </w:r>
    </w:p>
    <w:p>
      <w:pPr>
        <w:spacing w:before="75" w:after="0"/>
      </w:pPr>
      <w:r>
        <w:rPr/>
        <w:t xml:space="preserve">二、第二支柱企业年金扩面策略</w:t>
      </w:r>
    </w:p>
    <w:p>
      <w:pPr>
        <w:spacing w:before="75" w:after="0"/>
      </w:pPr>
      <w:r>
        <w:rPr/>
        <w:t xml:space="preserve">三、第三支柱个人养老金制度设计</w:t>
      </w:r>
    </w:p>
    <w:p>
      <w:pPr>
        <w:spacing w:before="75" w:after="0"/>
      </w:pPr>
      <w:r>
        <w:rPr/>
        <w:t xml:space="preserve">第二节 第一支柱运作机制分析</w:t>
      </w:r>
    </w:p>
    <w:p>
      <w:pPr>
        <w:spacing w:before="75" w:after="0"/>
      </w:pPr>
      <w:r>
        <w:rPr/>
        <w:t xml:space="preserve">一、全国统筹实施进展</w:t>
      </w:r>
    </w:p>
    <w:p>
      <w:pPr>
        <w:spacing w:before="75" w:after="0"/>
      </w:pPr>
      <w:r>
        <w:rPr/>
        <w:t xml:space="preserve">二、委托投资规模与收益</w:t>
      </w:r>
    </w:p>
    <w:p>
      <w:pPr>
        <w:spacing w:before="75" w:after="0"/>
      </w:pPr>
      <w:r>
        <w:rPr/>
        <w:t xml:space="preserve">三、可持续性压力测试</w:t>
      </w:r>
    </w:p>
    <w:p>
      <w:pPr>
        <w:spacing w:before="75" w:after="0"/>
      </w:pPr>
      <w:r>
        <w:rPr/>
        <w:t xml:space="preserve">第三节 第二支柱发展现状评估</w:t>
      </w:r>
    </w:p>
    <w:p>
      <w:pPr>
        <w:spacing w:before="75" w:after="0"/>
      </w:pPr>
      <w:r>
        <w:rPr/>
        <w:t xml:space="preserve">一、企业年金覆盖率与缴费率</w:t>
      </w:r>
    </w:p>
    <w:p>
      <w:pPr>
        <w:spacing w:before="75" w:after="0"/>
      </w:pPr>
      <w:r>
        <w:rPr/>
        <w:t xml:space="preserve">二、职业年金投资运作特点</w:t>
      </w:r>
    </w:p>
    <w:p>
      <w:pPr>
        <w:spacing w:before="75" w:after="0"/>
      </w:pPr>
      <w:r>
        <w:rPr/>
        <w:t xml:space="preserve">三、受托管理模式比较</w:t>
      </w:r>
    </w:p>
    <w:p>
      <w:pPr>
        <w:spacing w:before="75" w:after="0"/>
      </w:pPr>
      <w:r>
        <w:rPr/>
        <w:t xml:space="preserve">第四节 第三支柱创新方向探索</w:t>
      </w:r>
    </w:p>
    <w:p>
      <w:pPr>
        <w:spacing w:before="75" w:after="0"/>
      </w:pPr>
      <w:r>
        <w:rPr/>
        <w:t xml:space="preserve">一、账户制与产品制优劣</w:t>
      </w:r>
    </w:p>
    <w:p>
      <w:pPr>
        <w:spacing w:before="75" w:after="0"/>
      </w:pPr>
      <w:r>
        <w:rPr/>
        <w:t xml:space="preserve">二、税优政策激励效果</w:t>
      </w:r>
    </w:p>
    <w:p>
      <w:pPr>
        <w:spacing w:before="75" w:after="0"/>
      </w:pPr>
      <w:r>
        <w:rPr/>
        <w:t xml:space="preserve">三、产品货架丰富度提升</w:t>
      </w:r>
    </w:p>
    <w:p>
      <w:pPr>
        <w:spacing w:before="75" w:after="0"/>
      </w:pPr>
      <w:r>
        <w:rPr>
          <w:b w:val="1"/>
          <w:bCs w:val="1"/>
        </w:rPr>
        <w:t xml:space="preserve">第八章 商业养老保险模式创新</w:t>
      </w:r>
    </w:p>
    <w:p>
      <w:pPr>
        <w:spacing w:before="75" w:after="0"/>
      </w:pPr>
      <w:r>
        <w:rPr/>
        <w:t xml:space="preserve">第一节 传统年金险产品迭代</w:t>
      </w:r>
    </w:p>
    <w:p>
      <w:pPr>
        <w:spacing w:before="75" w:after="0"/>
      </w:pPr>
      <w:r>
        <w:rPr/>
        <w:t xml:space="preserve">一、固定领取型产品收益率走势</w:t>
      </w:r>
    </w:p>
    <w:p>
      <w:pPr>
        <w:spacing w:before="75" w:after="0"/>
      </w:pPr>
      <w:r>
        <w:rPr/>
        <w:t xml:space="preserve">二、分红型与传统型选择逻辑</w:t>
      </w:r>
    </w:p>
    <w:p>
      <w:pPr>
        <w:spacing w:before="75" w:after="0"/>
      </w:pPr>
      <w:r>
        <w:rPr/>
        <w:t xml:space="preserve">三、保证期限与流动性平衡</w:t>
      </w:r>
    </w:p>
    <w:p>
      <w:pPr>
        <w:spacing w:before="75" w:after="0"/>
      </w:pPr>
      <w:r>
        <w:rPr/>
        <w:t xml:space="preserve">第二节 长期护理保险发展</w:t>
      </w:r>
    </w:p>
    <w:p>
      <w:pPr>
        <w:spacing w:before="75" w:after="0"/>
      </w:pPr>
      <w:r>
        <w:rPr/>
        <w:t xml:space="preserve">一、试点城市赔付数据</w:t>
      </w:r>
    </w:p>
    <w:p>
      <w:pPr>
        <w:spacing w:before="75" w:after="0"/>
      </w:pPr>
      <w:r>
        <w:rPr/>
        <w:t xml:space="preserve">二、给付方式与触发机制</w:t>
      </w:r>
    </w:p>
    <w:p>
      <w:pPr>
        <w:spacing w:before="75" w:after="0"/>
      </w:pPr>
      <w:r>
        <w:rPr/>
        <w:t xml:space="preserve">三、与医疗险的协同效应</w:t>
      </w:r>
    </w:p>
    <w:p>
      <w:pPr>
        <w:spacing w:before="75" w:after="0"/>
      </w:pPr>
      <w:r>
        <w:rPr/>
        <w:t xml:space="preserve">第三节 专属商业养老保险设计</w:t>
      </w:r>
    </w:p>
    <w:p>
      <w:pPr>
        <w:spacing w:before="75" w:after="0"/>
      </w:pPr>
      <w:r>
        <w:rPr/>
        <w:t xml:space="preserve">一、积累期与领取期转换规则</w:t>
      </w:r>
    </w:p>
    <w:p>
      <w:pPr>
        <w:spacing w:before="75" w:after="0"/>
      </w:pPr>
      <w:r>
        <w:rPr/>
        <w:t xml:space="preserve">二、投资组合策略差异</w:t>
      </w:r>
    </w:p>
    <w:p>
      <w:pPr>
        <w:spacing w:before="75" w:after="0"/>
      </w:pPr>
      <w:r>
        <w:rPr/>
        <w:t xml:space="preserve">三、费用率与透明度要求</w:t>
      </w:r>
    </w:p>
    <w:p>
      <w:pPr>
        <w:spacing w:before="75" w:after="0"/>
      </w:pPr>
      <w:r>
        <w:rPr/>
        <w:t xml:space="preserve">第四节 产品创新趋势研判</w:t>
      </w:r>
    </w:p>
    <w:p>
      <w:pPr>
        <w:spacing w:before="75" w:after="0"/>
      </w:pPr>
      <w:r>
        <w:rPr/>
        <w:t xml:space="preserve">一、指数连结型产品可行性</w:t>
      </w:r>
    </w:p>
    <w:p>
      <w:pPr>
        <w:spacing w:before="75" w:after="0"/>
      </w:pPr>
      <w:r>
        <w:rPr/>
        <w:t xml:space="preserve">二、长寿风险对冲机制</w:t>
      </w:r>
    </w:p>
    <w:p>
      <w:pPr>
        <w:spacing w:before="75" w:after="0"/>
      </w:pPr>
      <w:r>
        <w:rPr/>
        <w:t xml:space="preserve">三、数字化销售与服务</w:t>
      </w:r>
    </w:p>
    <w:p>
      <w:pPr>
        <w:spacing w:before="75" w:after="0"/>
      </w:pPr>
      <w:r>
        <w:rPr>
          <w:b w:val="1"/>
          <w:bCs w:val="1"/>
        </w:rPr>
        <w:t xml:space="preserve">第九章 养老理财产品矩阵</w:t>
      </w:r>
    </w:p>
    <w:p>
      <w:pPr>
        <w:spacing w:before="75" w:after="0"/>
      </w:pPr>
      <w:r>
        <w:rPr/>
        <w:t xml:space="preserve">第一节 银行理财子公司布局</w:t>
      </w:r>
    </w:p>
    <w:p>
      <w:pPr>
        <w:spacing w:before="75" w:after="0"/>
      </w:pPr>
      <w:r>
        <w:rPr/>
        <w:t xml:space="preserve">一、养老理财发行数量与规模</w:t>
      </w:r>
    </w:p>
    <w:p>
      <w:pPr>
        <w:spacing w:before="75" w:after="0"/>
      </w:pPr>
      <w:r>
        <w:rPr/>
        <w:t xml:space="preserve">二、风险等级与收益中枢</w:t>
      </w:r>
    </w:p>
    <w:p>
      <w:pPr>
        <w:spacing w:before="75" w:after="0"/>
      </w:pPr>
      <w:r>
        <w:rPr/>
        <w:t xml:space="preserve">三、资产配置结构分析</w:t>
      </w:r>
    </w:p>
    <w:p>
      <w:pPr>
        <w:spacing w:before="75" w:after="0"/>
      </w:pPr>
      <w:r>
        <w:rPr/>
        <w:t xml:space="preserve">第二节 养老目标基金发展</w:t>
      </w:r>
    </w:p>
    <w:p>
      <w:pPr>
        <w:spacing w:before="75" w:after="0"/>
      </w:pPr>
      <w:r>
        <w:rPr/>
        <w:t xml:space="preserve">一、目标日期与目标风险基金规模</w:t>
      </w:r>
    </w:p>
    <w:p>
      <w:pPr>
        <w:spacing w:before="75" w:after="0"/>
      </w:pPr>
      <w:r>
        <w:rPr/>
        <w:t xml:space="preserve">二、下滑轨道设计差异</w:t>
      </w:r>
    </w:p>
    <w:p>
      <w:pPr>
        <w:spacing w:before="75" w:after="0"/>
      </w:pPr>
      <w:r>
        <w:rPr/>
        <w:t xml:space="preserve">三、费率竞争格局</w:t>
      </w:r>
    </w:p>
    <w:p>
      <w:pPr>
        <w:spacing w:before="75" w:after="0"/>
      </w:pPr>
      <w:r>
        <w:rPr/>
        <w:t xml:space="preserve">第三节 养老信托产品特征</w:t>
      </w:r>
    </w:p>
    <w:p>
      <w:pPr>
        <w:spacing w:before="75" w:after="0"/>
      </w:pPr>
      <w:r>
        <w:rPr/>
        <w:t xml:space="preserve">一、养老服务信托架构</w:t>
      </w:r>
    </w:p>
    <w:p>
      <w:pPr>
        <w:spacing w:before="75" w:after="0"/>
      </w:pPr>
      <w:r>
        <w:rPr/>
        <w:t xml:space="preserve">二、财产隔离与传承功能</w:t>
      </w:r>
    </w:p>
    <w:p>
      <w:pPr>
        <w:spacing w:before="75" w:after="0"/>
      </w:pPr>
      <w:r>
        <w:rPr/>
        <w:t xml:space="preserve">三、投资门槛与期限特征</w:t>
      </w:r>
    </w:p>
    <w:p>
      <w:pPr>
        <w:spacing w:before="75" w:after="0"/>
      </w:pPr>
      <w:r>
        <w:rPr/>
        <w:t xml:space="preserve">第四节 产品收益与风险特征对比</w:t>
      </w:r>
    </w:p>
    <w:p>
      <w:pPr>
        <w:spacing w:before="75" w:after="0"/>
      </w:pPr>
      <w:r>
        <w:rPr/>
        <w:t xml:space="preserve">一、不同产品夏普比率比较</w:t>
      </w:r>
    </w:p>
    <w:p>
      <w:pPr>
        <w:spacing w:before="75" w:after="0"/>
      </w:pPr>
      <w:r>
        <w:rPr/>
        <w:t xml:space="preserve">二、最大回撤与波动率分布</w:t>
      </w:r>
    </w:p>
    <w:p>
      <w:pPr>
        <w:spacing w:before="75" w:after="0"/>
      </w:pPr>
      <w:r>
        <w:rPr/>
        <w:t xml:space="preserve">三、全周期风险调整后收益</w:t>
      </w:r>
    </w:p>
    <w:p>
      <w:pPr>
        <w:spacing w:before="75" w:after="0"/>
      </w:pPr>
      <w:r>
        <w:rPr>
          <w:b w:val="1"/>
          <w:bCs w:val="1"/>
        </w:rPr>
        <w:t xml:space="preserve">第十章 养老金融服务生态构建</w:t>
      </w:r>
    </w:p>
    <w:p>
      <w:pPr>
        <w:spacing w:before="75" w:after="0"/>
      </w:pPr>
      <w:r>
        <w:rPr/>
        <w:t xml:space="preserve">第一节 账户管理与咨询服务</w:t>
      </w:r>
    </w:p>
    <w:p>
      <w:pPr>
        <w:spacing w:before="75" w:after="0"/>
      </w:pPr>
      <w:r>
        <w:rPr/>
        <w:t xml:space="preserve">一、个人养老金账户体系</w:t>
      </w:r>
    </w:p>
    <w:p>
      <w:pPr>
        <w:spacing w:before="75" w:after="0"/>
      </w:pPr>
      <w:r>
        <w:rPr/>
        <w:t xml:space="preserve">二、全市场产品筛选服务</w:t>
      </w:r>
    </w:p>
    <w:p>
      <w:pPr>
        <w:spacing w:before="75" w:after="0"/>
      </w:pPr>
      <w:r>
        <w:rPr/>
        <w:t xml:space="preserve">三、账户诊断与优化建议</w:t>
      </w:r>
    </w:p>
    <w:p>
      <w:pPr>
        <w:spacing w:before="75" w:after="0"/>
      </w:pPr>
      <w:r>
        <w:rPr/>
        <w:t xml:space="preserve">第二节 智能投顾应用深化</w:t>
      </w:r>
    </w:p>
    <w:p>
      <w:pPr>
        <w:spacing w:before="75" w:after="0"/>
      </w:pPr>
      <w:r>
        <w:rPr/>
        <w:t xml:space="preserve">一、ai算法在养老场景适配</w:t>
      </w:r>
    </w:p>
    <w:p>
      <w:pPr>
        <w:spacing w:before="75" w:after="0"/>
      </w:pPr>
      <w:r>
        <w:rPr/>
        <w:t xml:space="preserve">二、动态再平衡触发机制</w:t>
      </w:r>
    </w:p>
    <w:p>
      <w:pPr>
        <w:spacing w:before="75" w:after="0"/>
      </w:pPr>
      <w:r>
        <w:rPr/>
        <w:t xml:space="preserve">三、人机交互体验优化</w:t>
      </w:r>
    </w:p>
    <w:p>
      <w:pPr>
        <w:spacing w:before="75" w:after="0"/>
      </w:pPr>
      <w:r>
        <w:rPr/>
        <w:t xml:space="preserve">第三节 综合服务平台建设</w:t>
      </w:r>
    </w:p>
    <w:p>
      <w:pPr>
        <w:spacing w:before="75" w:after="0"/>
      </w:pPr>
      <w:r>
        <w:rPr/>
        <w:t xml:space="preserve">一、金融+健康数据整合</w:t>
      </w:r>
    </w:p>
    <w:p>
      <w:pPr>
        <w:spacing w:before="75" w:after="0"/>
      </w:pPr>
      <w:r>
        <w:rPr/>
        <w:t xml:space="preserve">二、跨机构账户打通</w:t>
      </w:r>
    </w:p>
    <w:p>
      <w:pPr>
        <w:spacing w:before="75" w:after="0"/>
      </w:pPr>
      <w:r>
        <w:rPr/>
        <w:t xml:space="preserve">三、一站式解决方案</w:t>
      </w:r>
    </w:p>
    <w:p>
      <w:pPr>
        <w:spacing w:before="75" w:after="0"/>
      </w:pPr>
      <w:r>
        <w:rPr/>
        <w:t xml:space="preserve">第四节 生态协同机制设计</w:t>
      </w:r>
    </w:p>
    <w:p>
      <w:pPr>
        <w:spacing w:before="75" w:after="0"/>
      </w:pPr>
      <w:r>
        <w:rPr/>
        <w:t xml:space="preserve">一、银证保合作模式</w:t>
      </w:r>
    </w:p>
    <w:p>
      <w:pPr>
        <w:spacing w:before="75" w:after="0"/>
      </w:pPr>
      <w:r>
        <w:rPr/>
        <w:t xml:space="preserve">二、金融与养老服务对接</w:t>
      </w:r>
    </w:p>
    <w:p>
      <w:pPr>
        <w:spacing w:before="75" w:after="0"/>
      </w:pPr>
      <w:r>
        <w:rPr/>
        <w:t xml:space="preserve">三、数据共享与隐私保护</w:t>
      </w:r>
    </w:p>
    <w:p>
      <w:pPr>
        <w:spacing w:before="75" w:after="0"/>
      </w:pPr>
      <w:r>
        <w:rPr>
          <w:b w:val="1"/>
          <w:bCs w:val="1"/>
        </w:rPr>
        <w:t xml:space="preserve">第四部分 细分市场研判</w:t>
      </w:r>
    </w:p>
    <w:p>
      <w:pPr>
        <w:spacing w:before="75" w:after="0"/>
      </w:pPr>
      <w:r>
        <w:rPr>
          <w:b w:val="1"/>
          <w:bCs w:val="1"/>
        </w:rPr>
        <w:t xml:space="preserve">第十一章 养老金融市场深度分析</w:t>
      </w:r>
    </w:p>
    <w:p>
      <w:pPr>
        <w:spacing w:before="75" w:after="0"/>
      </w:pPr>
      <w:r>
        <w:rPr/>
        <w:t xml:space="preserve">第一节 基本养老金投资管理</w:t>
      </w:r>
    </w:p>
    <w:p>
      <w:pPr>
        <w:spacing w:before="75" w:after="0"/>
      </w:pPr>
      <w:r>
        <w:rPr/>
        <w:t xml:space="preserve">一、委托投资规模与收益率</w:t>
      </w:r>
    </w:p>
    <w:p>
      <w:pPr>
        <w:spacing w:before="75" w:after="0"/>
      </w:pPr>
      <w:r>
        <w:rPr/>
        <w:t xml:space="preserve">二、资产配置约束与优化</w:t>
      </w:r>
    </w:p>
    <w:p>
      <w:pPr>
        <w:spacing w:before="75" w:after="0"/>
      </w:pPr>
      <w:r>
        <w:rPr/>
        <w:t xml:space="preserve">三、esg投资策略应用</w:t>
      </w:r>
    </w:p>
    <w:p>
      <w:pPr>
        <w:spacing w:before="75" w:after="0"/>
      </w:pPr>
      <w:r>
        <w:rPr/>
        <w:t xml:space="preserve">第二节 企业年金市场运行</w:t>
      </w:r>
    </w:p>
    <w:p>
      <w:pPr>
        <w:spacing w:before="75" w:after="0"/>
      </w:pPr>
      <w:r>
        <w:rPr/>
        <w:t xml:space="preserve">一、基金积累规模与参与人数</w:t>
      </w:r>
    </w:p>
    <w:p>
      <w:pPr>
        <w:spacing w:before="75" w:after="0"/>
      </w:pPr>
      <w:r>
        <w:rPr/>
        <w:t xml:space="preserve">二、投资收益率年度分布</w:t>
      </w:r>
    </w:p>
    <w:p>
      <w:pPr>
        <w:spacing w:before="75" w:after="0"/>
      </w:pPr>
      <w:r>
        <w:rPr/>
        <w:t xml:space="preserve">三、受托人竞争格局</w:t>
      </w:r>
    </w:p>
    <w:p>
      <w:pPr>
        <w:spacing w:before="75" w:after="0"/>
      </w:pPr>
      <w:r>
        <w:rPr/>
        <w:t xml:space="preserve">第三节 职业年金发展</w:t>
      </w:r>
    </w:p>
    <w:p>
      <w:pPr>
        <w:spacing w:before="75" w:after="0"/>
      </w:pPr>
      <w:r>
        <w:rPr/>
        <w:t xml:space="preserve">一、基金实账积累规模</w:t>
      </w:r>
    </w:p>
    <w:p>
      <w:pPr>
        <w:spacing w:before="75" w:after="0"/>
      </w:pPr>
      <w:r>
        <w:rPr/>
        <w:t xml:space="preserve">二、代理人模式运作特点</w:t>
      </w:r>
    </w:p>
    <w:p>
      <w:pPr>
        <w:spacing w:before="75" w:after="0"/>
      </w:pPr>
      <w:r>
        <w:rPr/>
        <w:t xml:space="preserve">三、风险准备金计提</w:t>
      </w:r>
    </w:p>
    <w:p>
      <w:pPr>
        <w:spacing w:before="75" w:after="0"/>
      </w:pPr>
      <w:r>
        <w:rPr/>
        <w:t xml:space="preserve">第四节 个人养老金账户市场</w:t>
      </w:r>
    </w:p>
    <w:p>
      <w:pPr>
        <w:spacing w:before="75" w:after="0"/>
      </w:pPr>
      <w:r>
        <w:rPr/>
        <w:t xml:space="preserve">一、开户数量与缴费率</w:t>
      </w:r>
    </w:p>
    <w:p>
      <w:pPr>
        <w:spacing w:before="75" w:after="0"/>
      </w:pPr>
      <w:r>
        <w:rPr/>
        <w:t xml:space="preserve">二、投资转化率</w:t>
      </w:r>
    </w:p>
    <w:p>
      <w:pPr>
        <w:spacing w:before="75" w:after="0"/>
      </w:pPr>
      <w:r>
        <w:rPr/>
        <w:t xml:space="preserve">三、产品配置偏好</w:t>
      </w:r>
    </w:p>
    <w:p>
      <w:pPr>
        <w:spacing w:before="75" w:after="0"/>
      </w:pPr>
      <w:r>
        <w:rPr>
          <w:b w:val="1"/>
          <w:bCs w:val="1"/>
        </w:rPr>
        <w:t xml:space="preserve">第十二章 养老服务金融市场研判</w:t>
      </w:r>
    </w:p>
    <w:p>
      <w:pPr>
        <w:spacing w:before="75" w:after="0"/>
      </w:pPr>
      <w:r>
        <w:rPr/>
        <w:t xml:space="preserve">第一节 养老社区金融支持</w:t>
      </w:r>
    </w:p>
    <w:p>
      <w:pPr>
        <w:spacing w:before="75" w:after="0"/>
      </w:pPr>
      <w:r>
        <w:rPr/>
        <w:t xml:space="preserve">一、ccrc模式投资测算</w:t>
      </w:r>
    </w:p>
    <w:p>
      <w:pPr>
        <w:spacing w:before="75" w:after="0"/>
      </w:pPr>
      <w:r>
        <w:rPr/>
        <w:t xml:space="preserve">二、reits融资路径</w:t>
      </w:r>
    </w:p>
    <w:p>
      <w:pPr>
        <w:spacing w:before="75" w:after="0"/>
      </w:pPr>
      <w:r>
        <w:rPr/>
        <w:t xml:space="preserve">三、会员制与保险联动</w:t>
      </w:r>
    </w:p>
    <w:p>
      <w:pPr>
        <w:spacing w:before="75" w:after="0"/>
      </w:pPr>
      <w:r>
        <w:rPr/>
        <w:t xml:space="preserve">第二节 居家养老金融服务</w:t>
      </w:r>
    </w:p>
    <w:p>
      <w:pPr>
        <w:spacing w:before="75" w:after="0"/>
      </w:pPr>
      <w:r>
        <w:rPr/>
        <w:t xml:space="preserve">一、反向抵押贷款规模</w:t>
      </w:r>
    </w:p>
    <w:p>
      <w:pPr>
        <w:spacing w:before="75" w:after="0"/>
      </w:pPr>
      <w:r>
        <w:rPr/>
        <w:t xml:space="preserve">二、长护险与居家服务支付</w:t>
      </w:r>
    </w:p>
    <w:p>
      <w:pPr>
        <w:spacing w:before="75" w:after="0"/>
      </w:pPr>
      <w:r>
        <w:rPr/>
        <w:t xml:space="preserve">三、智能家居金融分期</w:t>
      </w:r>
    </w:p>
    <w:p>
      <w:pPr>
        <w:spacing w:before="75" w:after="0"/>
      </w:pPr>
      <w:r>
        <w:rPr/>
        <w:t xml:space="preserve">第三节 医养结合金融模式</w:t>
      </w:r>
    </w:p>
    <w:p>
      <w:pPr>
        <w:spacing w:before="75" w:after="0"/>
      </w:pPr>
      <w:r>
        <w:rPr/>
        <w:t xml:space="preserve">一、医疗押金与信托监管</w:t>
      </w:r>
    </w:p>
    <w:p>
      <w:pPr>
        <w:spacing w:before="75" w:after="0"/>
      </w:pPr>
      <w:r>
        <w:rPr/>
        <w:t xml:space="preserve">二、护理费用分期产品</w:t>
      </w:r>
    </w:p>
    <w:p>
      <w:pPr>
        <w:spacing w:before="75" w:after="0"/>
      </w:pPr>
      <w:r>
        <w:rPr/>
        <w:t xml:space="preserve">三、商业保险与社保衔接</w:t>
      </w:r>
    </w:p>
    <w:p>
      <w:pPr>
        <w:spacing w:before="75" w:after="0"/>
      </w:pPr>
      <w:r>
        <w:rPr/>
        <w:t xml:space="preserve">第四节 服务支付体系完善</w:t>
      </w:r>
    </w:p>
    <w:p>
      <w:pPr>
        <w:spacing w:before="75" w:after="0"/>
      </w:pPr>
      <w:r>
        <w:rPr/>
        <w:t xml:space="preserve">一、长期护理保险支付</w:t>
      </w:r>
    </w:p>
    <w:p>
      <w:pPr>
        <w:spacing w:before="75" w:after="0"/>
      </w:pPr>
      <w:r>
        <w:rPr/>
        <w:t xml:space="preserve">二、商业保险直付网络</w:t>
      </w:r>
    </w:p>
    <w:p>
      <w:pPr>
        <w:spacing w:before="75" w:after="0"/>
      </w:pPr>
      <w:r>
        <w:rPr/>
        <w:t xml:space="preserve">三、数字化结算平台</w:t>
      </w:r>
    </w:p>
    <w:p>
      <w:pPr>
        <w:spacing w:before="75" w:after="0"/>
      </w:pPr>
      <w:r>
        <w:rPr>
          <w:b w:val="1"/>
          <w:bCs w:val="1"/>
        </w:rPr>
        <w:t xml:space="preserve">第十三章 养老产业金融市场机会</w:t>
      </w:r>
    </w:p>
    <w:p>
      <w:pPr>
        <w:spacing w:before="75" w:after="0"/>
      </w:pPr>
      <w:r>
        <w:rPr/>
        <w:t xml:space="preserve">第一节 养老地产融资模式</w:t>
      </w:r>
    </w:p>
    <w:p>
      <w:pPr>
        <w:spacing w:before="75" w:after="0"/>
      </w:pPr>
      <w:r>
        <w:rPr/>
        <w:t xml:space="preserve">一、开发贷与经营性物业贷</w:t>
      </w:r>
    </w:p>
    <w:p>
      <w:pPr>
        <w:spacing w:before="75" w:after="0"/>
      </w:pPr>
      <w:r>
        <w:rPr/>
        <w:t xml:space="preserve">二、股权投资基金介入</w:t>
      </w:r>
    </w:p>
    <w:p>
      <w:pPr>
        <w:spacing w:before="75" w:after="0"/>
      </w:pPr>
      <w:r>
        <w:rPr/>
        <w:t xml:space="preserve">三、资产证券化退出</w:t>
      </w:r>
    </w:p>
    <w:p>
      <w:pPr>
        <w:spacing w:before="75" w:after="0"/>
      </w:pPr>
      <w:r>
        <w:rPr/>
        <w:t xml:space="preserve">第二节 养老科技投资方向</w:t>
      </w:r>
    </w:p>
    <w:p>
      <w:pPr>
        <w:spacing w:before="75" w:after="0"/>
      </w:pPr>
      <w:r>
        <w:rPr/>
        <w:t xml:space="preserve">一、智能硬件融资热度</w:t>
      </w:r>
    </w:p>
    <w:p>
      <w:pPr>
        <w:spacing w:before="75" w:after="0"/>
      </w:pPr>
      <w:r>
        <w:rPr/>
        <w:t xml:space="preserve">二、saas平台估值模型</w:t>
      </w:r>
    </w:p>
    <w:p>
      <w:pPr>
        <w:spacing w:before="75" w:after="0"/>
      </w:pPr>
      <w:r>
        <w:rPr/>
        <w:t xml:space="preserve">三、ai护理机器人成本收益</w:t>
      </w:r>
    </w:p>
    <w:p>
      <w:pPr>
        <w:spacing w:before="75" w:after="0"/>
      </w:pPr>
      <w:r>
        <w:rPr/>
        <w:t xml:space="preserve">第三节 康复辅具金融支持</w:t>
      </w:r>
    </w:p>
    <w:p>
      <w:pPr>
        <w:spacing w:before="75" w:after="0"/>
      </w:pPr>
      <w:r>
        <w:rPr/>
        <w:t xml:space="preserve">一、租赁与购买金融方案</w:t>
      </w:r>
    </w:p>
    <w:p>
      <w:pPr>
        <w:spacing w:before="75" w:after="0"/>
      </w:pPr>
      <w:r>
        <w:rPr/>
        <w:t xml:space="preserve">二、政府采购与商业保险结合</w:t>
      </w:r>
    </w:p>
    <w:p>
      <w:pPr>
        <w:spacing w:before="75" w:after="0"/>
      </w:pPr>
      <w:r>
        <w:rPr/>
        <w:t xml:space="preserve">三、以租代售模式创新</w:t>
      </w:r>
    </w:p>
    <w:p>
      <w:pPr>
        <w:spacing w:before="75" w:after="0"/>
      </w:pPr>
      <w:r>
        <w:rPr/>
        <w:t xml:space="preserve">第四节 智慧养老平台投资</w:t>
      </w:r>
    </w:p>
    <w:p>
      <w:pPr>
        <w:spacing w:before="75" w:after="0"/>
      </w:pPr>
      <w:r>
        <w:rPr/>
        <w:t xml:space="preserve">一、数据平台融资规模</w:t>
      </w:r>
    </w:p>
    <w:p>
      <w:pPr>
        <w:spacing w:before="75" w:after="0"/>
      </w:pPr>
      <w:r>
        <w:rPr/>
        <w:t xml:space="preserve">二、生态构建与盈利模式</w:t>
      </w:r>
    </w:p>
    <w:p>
      <w:pPr>
        <w:spacing w:before="75" w:after="0"/>
      </w:pPr>
      <w:r>
        <w:rPr/>
        <w:t xml:space="preserve">三、数据资产估值</w:t>
      </w:r>
    </w:p>
    <w:p>
      <w:pPr>
        <w:spacing w:before="75" w:after="0"/>
      </w:pPr>
      <w:r>
        <w:rPr>
          <w:b w:val="1"/>
          <w:bCs w:val="1"/>
        </w:rPr>
        <w:t xml:space="preserve">第五部分 区域市场格局</w:t>
      </w:r>
    </w:p>
    <w:p>
      <w:pPr>
        <w:spacing w:before="75" w:after="0"/>
      </w:pPr>
      <w:r>
        <w:rPr>
          <w:b w:val="1"/>
          <w:bCs w:val="1"/>
        </w:rPr>
        <w:t xml:space="preserve">第十四章 区域市场差异化发展</w:t>
      </w:r>
    </w:p>
    <w:p>
      <w:pPr>
        <w:spacing w:before="75" w:after="0"/>
      </w:pPr>
      <w:r>
        <w:rPr/>
        <w:t xml:space="preserve">第一节 长三角一体化市场</w:t>
      </w:r>
    </w:p>
    <w:p>
      <w:pPr>
        <w:spacing w:before="75" w:after="0"/>
      </w:pPr>
      <w:r>
        <w:rPr/>
        <w:t xml:space="preserve">一、区域内资金流动特征</w:t>
      </w:r>
    </w:p>
    <w:p>
      <w:pPr>
        <w:spacing w:before="75" w:after="0"/>
      </w:pPr>
      <w:r>
        <w:rPr/>
        <w:t xml:space="preserve">二、产品与服务协同创新</w:t>
      </w:r>
    </w:p>
    <w:p>
      <w:pPr>
        <w:spacing w:before="75" w:after="0"/>
      </w:pPr>
      <w:r>
        <w:rPr/>
        <w:t xml:space="preserve">三、跨区投保与就医结算</w:t>
      </w:r>
    </w:p>
    <w:p>
      <w:pPr>
        <w:spacing w:before="75" w:after="0"/>
      </w:pPr>
      <w:r>
        <w:rPr/>
        <w:t xml:space="preserve">第二节 粤港澳大湾区布局</w:t>
      </w:r>
    </w:p>
    <w:p>
      <w:pPr>
        <w:spacing w:before="75" w:after="0"/>
      </w:pPr>
      <w:r>
        <w:rPr/>
        <w:t xml:space="preserve">一、跨境养老金融试点</w:t>
      </w:r>
    </w:p>
    <w:p>
      <w:pPr>
        <w:spacing w:before="75" w:after="0"/>
      </w:pPr>
      <w:r>
        <w:rPr/>
        <w:t xml:space="preserve">二、港澳产品互认机制</w:t>
      </w:r>
    </w:p>
    <w:p>
      <w:pPr>
        <w:spacing w:before="75" w:after="0"/>
      </w:pPr>
      <w:r>
        <w:rPr/>
        <w:t xml:space="preserve">三、跨境资金汇兑便利</w:t>
      </w:r>
    </w:p>
    <w:p>
      <w:pPr>
        <w:spacing w:before="75" w:after="0"/>
      </w:pPr>
      <w:r>
        <w:rPr/>
        <w:t xml:space="preserve">第三节 京津冀协同发展</w:t>
      </w:r>
    </w:p>
    <w:p>
      <w:pPr>
        <w:spacing w:before="75" w:after="0"/>
      </w:pPr>
      <w:r>
        <w:rPr/>
        <w:t xml:space="preserve">一、功能疏解与养老承接</w:t>
      </w:r>
    </w:p>
    <w:p>
      <w:pPr>
        <w:spacing w:before="75" w:after="0"/>
      </w:pPr>
      <w:r>
        <w:rPr/>
        <w:t xml:space="preserve">二、统一标准体系建设</w:t>
      </w:r>
    </w:p>
    <w:p>
      <w:pPr>
        <w:spacing w:before="75" w:after="0"/>
      </w:pPr>
      <w:r>
        <w:rPr/>
        <w:t xml:space="preserve">三、产业转移与就业衔接</w:t>
      </w:r>
    </w:p>
    <w:p>
      <w:pPr>
        <w:spacing w:before="75" w:after="0"/>
      </w:pPr>
      <w:r>
        <w:rPr/>
        <w:t xml:space="preserve">第四节 成渝地区双城经济圈</w:t>
      </w:r>
    </w:p>
    <w:p>
      <w:pPr>
        <w:spacing w:before="75" w:after="0"/>
      </w:pPr>
      <w:r>
        <w:rPr/>
        <w:t xml:space="preserve">一、西部市场增长潜力</w:t>
      </w:r>
    </w:p>
    <w:p>
      <w:pPr>
        <w:spacing w:before="75" w:after="0"/>
      </w:pPr>
      <w:r>
        <w:rPr/>
        <w:t xml:space="preserve">二、成本优势与政策红利</w:t>
      </w:r>
    </w:p>
    <w:p>
      <w:pPr>
        <w:spacing w:before="75" w:after="0"/>
      </w:pPr>
      <w:r>
        <w:rPr/>
        <w:t xml:space="preserve">三、特色产品供给</w:t>
      </w:r>
    </w:p>
    <w:p>
      <w:pPr>
        <w:spacing w:before="75" w:after="0"/>
      </w:pPr>
      <w:r>
        <w:rPr/>
        <w:t xml:space="preserve">第五节 其他区域市场特征</w:t>
      </w:r>
    </w:p>
    <w:p>
      <w:pPr>
        <w:spacing w:before="75" w:after="0"/>
      </w:pPr>
      <w:r>
        <w:rPr/>
        <w:t xml:space="preserve">一、中部地区崛起路径</w:t>
      </w:r>
    </w:p>
    <w:p>
      <w:pPr>
        <w:spacing w:before="75" w:after="0"/>
      </w:pPr>
      <w:r>
        <w:rPr/>
        <w:t xml:space="preserve">二、东北老工业基地转型</w:t>
      </w:r>
    </w:p>
    <w:p>
      <w:pPr>
        <w:spacing w:before="75" w:after="0"/>
      </w:pPr>
      <w:r>
        <w:rPr/>
        <w:t xml:space="preserve">三、边疆地区差异化政策</w:t>
      </w:r>
    </w:p>
    <w:p>
      <w:pPr>
        <w:spacing w:before="75" w:after="0"/>
      </w:pPr>
      <w:r>
        <w:rPr>
          <w:b w:val="1"/>
          <w:bCs w:val="1"/>
        </w:rPr>
        <w:t xml:space="preserve">第六部分 竞争格局与产业图谱</w:t>
      </w:r>
    </w:p>
    <w:p>
      <w:pPr>
        <w:spacing w:before="75" w:after="0"/>
      </w:pPr>
      <w:r>
        <w:rPr>
          <w:b w:val="1"/>
          <w:bCs w:val="1"/>
        </w:rPr>
        <w:t xml:space="preserve">第十五章 市场竞争格局演变</w:t>
      </w:r>
    </w:p>
    <w:p>
      <w:pPr>
        <w:spacing w:before="75" w:after="0"/>
      </w:pPr>
      <w:r>
        <w:rPr/>
        <w:t xml:space="preserve">第一节 市场集中度分析</w:t>
      </w:r>
    </w:p>
    <w:p>
      <w:pPr>
        <w:spacing w:before="75" w:after="0"/>
      </w:pPr>
      <w:r>
        <w:rPr/>
        <w:t xml:space="preserve">一、cr5、cr10变化趋势</w:t>
      </w:r>
    </w:p>
    <w:p>
      <w:pPr>
        <w:spacing w:before="75" w:after="0"/>
      </w:pPr>
      <w:r>
        <w:rPr/>
        <w:t xml:space="preserve">二、细分赛道集中度差异</w:t>
      </w:r>
    </w:p>
    <w:p>
      <w:pPr>
        <w:spacing w:before="75" w:after="0"/>
      </w:pPr>
      <w:r>
        <w:rPr/>
        <w:t xml:space="preserve">三、马太效应显现程度</w:t>
      </w:r>
    </w:p>
    <w:p>
      <w:pPr>
        <w:spacing w:before="75" w:after="0"/>
      </w:pPr>
      <w:r>
        <w:rPr/>
        <w:t xml:space="preserve">第二节 竞争主体优劣势评估</w:t>
      </w:r>
    </w:p>
    <w:p>
      <w:pPr>
        <w:spacing w:before="75" w:after="0"/>
      </w:pPr>
      <w:r>
        <w:rPr/>
        <w:t xml:space="preserve">一、银行系：渠道与客户基础</w:t>
      </w:r>
    </w:p>
    <w:p>
      <w:pPr>
        <w:spacing w:before="75" w:after="0"/>
      </w:pPr>
      <w:r>
        <w:rPr/>
        <w:t xml:space="preserve">二、保险系：长期资金与风控</w:t>
      </w:r>
    </w:p>
    <w:p>
      <w:pPr>
        <w:spacing w:before="75" w:after="0"/>
      </w:pPr>
      <w:r>
        <w:rPr/>
        <w:t xml:space="preserve">三、基金系：投研与创新能力</w:t>
      </w:r>
    </w:p>
    <w:p>
      <w:pPr>
        <w:spacing w:before="75" w:after="0"/>
      </w:pPr>
      <w:r>
        <w:rPr/>
        <w:t xml:space="preserve">第三节 潜在进入者威胁</w:t>
      </w:r>
    </w:p>
    <w:p>
      <w:pPr>
        <w:spacing w:before="75" w:after="0"/>
      </w:pPr>
      <w:r>
        <w:rPr/>
        <w:t xml:space="preserve">一、外资机构准入门槛</w:t>
      </w:r>
    </w:p>
    <w:p>
      <w:pPr>
        <w:spacing w:before="75" w:after="0"/>
      </w:pPr>
      <w:r>
        <w:rPr/>
        <w:t xml:space="preserve">二、科技公司跨界挑战</w:t>
      </w:r>
    </w:p>
    <w:p>
      <w:pPr>
        <w:spacing w:before="75" w:after="0"/>
      </w:pPr>
      <w:r>
        <w:rPr/>
        <w:t xml:space="preserve">三、产业资本布局意图</w:t>
      </w:r>
    </w:p>
    <w:p>
      <w:pPr>
        <w:spacing w:before="75" w:after="0"/>
      </w:pPr>
      <w:r>
        <w:rPr/>
        <w:t xml:space="preserve">第四节 替代品风险研判</w:t>
      </w:r>
    </w:p>
    <w:p>
      <w:pPr>
        <w:spacing w:before="75" w:after="0"/>
      </w:pPr>
      <w:r>
        <w:rPr/>
        <w:t xml:space="preserve">一、房地产养老替代效应</w:t>
      </w:r>
    </w:p>
    <w:p>
      <w:pPr>
        <w:spacing w:before="75" w:after="0"/>
      </w:pPr>
      <w:r>
        <w:rPr/>
        <w:t xml:space="preserve">二、子女赡养传统模式</w:t>
      </w:r>
    </w:p>
    <w:p>
      <w:pPr>
        <w:spacing w:before="75" w:after="0"/>
      </w:pPr>
      <w:r>
        <w:rPr/>
        <w:t xml:space="preserve">三、个人储蓄性养老</w:t>
      </w:r>
    </w:p>
    <w:p>
      <w:pPr>
        <w:spacing w:before="75" w:after="0"/>
      </w:pPr>
      <w:r>
        <w:rPr>
          <w:b w:val="1"/>
          <w:bCs w:val="1"/>
        </w:rPr>
        <w:t xml:space="preserve">第十六章 产业链结构分析</w:t>
      </w:r>
    </w:p>
    <w:p>
      <w:pPr>
        <w:spacing w:before="75" w:after="0"/>
      </w:pPr>
      <w:r>
        <w:rPr/>
        <w:t xml:space="preserve">第一节 产业链全景图谱</w:t>
      </w:r>
    </w:p>
    <w:p>
      <w:pPr>
        <w:spacing w:before="75" w:after="0"/>
      </w:pPr>
      <w:r>
        <w:rPr/>
        <w:t xml:space="preserve">一、资金端：个人、企业、财政</w:t>
      </w:r>
    </w:p>
    <w:p>
      <w:pPr>
        <w:spacing w:before="75" w:after="0"/>
      </w:pPr>
      <w:r>
        <w:rPr/>
        <w:t xml:space="preserve">二、产品端：银行、保险、基金、信托</w:t>
      </w:r>
    </w:p>
    <w:p>
      <w:pPr>
        <w:spacing w:before="75" w:after="0"/>
      </w:pPr>
      <w:r>
        <w:rPr/>
        <w:t xml:space="preserve">三、服务端：养老、医疗、科技</w:t>
      </w:r>
    </w:p>
    <w:p>
      <w:pPr>
        <w:spacing w:before="75" w:after="0"/>
      </w:pPr>
      <w:r>
        <w:rPr/>
        <w:t xml:space="preserve">第二节 价值链分布特征</w:t>
      </w:r>
    </w:p>
    <w:p>
      <w:pPr>
        <w:spacing w:before="75" w:after="0"/>
      </w:pPr>
      <w:r>
        <w:rPr/>
        <w:t xml:space="preserve">一、管理费与业绩报酬</w:t>
      </w:r>
    </w:p>
    <w:p>
      <w:pPr>
        <w:spacing w:before="75" w:after="0"/>
      </w:pPr>
      <w:r>
        <w:rPr/>
        <w:t xml:space="preserve">二、渠道费用占比</w:t>
      </w:r>
    </w:p>
    <w:p>
      <w:pPr>
        <w:spacing w:before="75" w:after="0"/>
      </w:pPr>
      <w:r>
        <w:rPr/>
        <w:t xml:space="preserve">三、投研投入产出比</w:t>
      </w:r>
    </w:p>
    <w:p>
      <w:pPr>
        <w:spacing w:before="75" w:after="0"/>
      </w:pPr>
      <w:r>
        <w:rPr/>
        <w:t xml:space="preserve">第三节 上下游议价能力</w:t>
      </w:r>
    </w:p>
    <w:p>
      <w:pPr>
        <w:spacing w:before="75" w:after="0"/>
      </w:pPr>
      <w:r>
        <w:rPr/>
        <w:t xml:space="preserve">一、对资金端议价能力</w:t>
      </w:r>
    </w:p>
    <w:p>
      <w:pPr>
        <w:spacing w:before="75" w:after="0"/>
      </w:pPr>
      <w:r>
        <w:rPr/>
        <w:t xml:space="preserve">二、对资产端议价能力</w:t>
      </w:r>
    </w:p>
    <w:p>
      <w:pPr>
        <w:spacing w:before="75" w:after="0"/>
      </w:pPr>
      <w:r>
        <w:rPr/>
        <w:t xml:space="preserve">三、渠道依赖度</w:t>
      </w:r>
    </w:p>
    <w:p>
      <w:pPr>
        <w:spacing w:before="75" w:after="0"/>
      </w:pPr>
      <w:r>
        <w:rPr/>
        <w:t xml:space="preserve">第四节 成本结构优化路径</w:t>
      </w:r>
    </w:p>
    <w:p>
      <w:pPr>
        <w:spacing w:before="75" w:after="0"/>
      </w:pPr>
      <w:r>
        <w:rPr/>
        <w:t xml:space="preserve">一、运营成本压降空间</w:t>
      </w:r>
    </w:p>
    <w:p>
      <w:pPr>
        <w:spacing w:before="75" w:after="0"/>
      </w:pPr>
      <w:r>
        <w:rPr/>
        <w:t xml:space="preserve">二、科技投入边际效益</w:t>
      </w:r>
    </w:p>
    <w:p>
      <w:pPr>
        <w:spacing w:before="75" w:after="0"/>
      </w:pPr>
      <w:r>
        <w:rPr/>
        <w:t xml:space="preserve">三、规模效应临界点</w:t>
      </w:r>
    </w:p>
    <w:p>
      <w:pPr>
        <w:spacing w:before="75" w:after="0"/>
      </w:pPr>
      <w:r>
        <w:rPr>
          <w:b w:val="1"/>
          <w:bCs w:val="1"/>
        </w:rPr>
        <w:t xml:space="preserve">第七部分 风险评估体系</w:t>
      </w:r>
    </w:p>
    <w:p>
      <w:pPr>
        <w:spacing w:before="75" w:after="0"/>
      </w:pPr>
      <w:r>
        <w:rPr>
          <w:b w:val="1"/>
          <w:bCs w:val="1"/>
        </w:rPr>
        <w:t xml:space="preserve">第十七章 行业风险识别与预警</w:t>
      </w:r>
    </w:p>
    <w:p>
      <w:pPr>
        <w:spacing w:before="75" w:after="0"/>
      </w:pPr>
      <w:r>
        <w:rPr/>
        <w:t xml:space="preserve">第一节 政策合规风险</w:t>
      </w:r>
    </w:p>
    <w:p>
      <w:pPr>
        <w:spacing w:before="75" w:after="0"/>
      </w:pPr>
      <w:r>
        <w:rPr/>
        <w:t xml:space="preserve">一、税优政策调整风险</w:t>
      </w:r>
    </w:p>
    <w:p>
      <w:pPr>
        <w:spacing w:before="75" w:after="0"/>
      </w:pPr>
      <w:r>
        <w:rPr/>
        <w:t xml:space="preserve">二、投资范围收紧风险</w:t>
      </w:r>
    </w:p>
    <w:p>
      <w:pPr>
        <w:spacing w:before="75" w:after="0"/>
      </w:pPr>
      <w:r>
        <w:rPr/>
        <w:t xml:space="preserve">三、资本充足率要求</w:t>
      </w:r>
    </w:p>
    <w:p>
      <w:pPr>
        <w:spacing w:before="75" w:after="0"/>
      </w:pPr>
      <w:r>
        <w:rPr/>
        <w:t xml:space="preserve">第二节 市场波动风险</w:t>
      </w:r>
    </w:p>
    <w:p>
      <w:pPr>
        <w:spacing w:before="75" w:after="0"/>
      </w:pPr>
      <w:r>
        <w:rPr/>
        <w:t xml:space="preserve">一、权益市场下跌冲击</w:t>
      </w:r>
    </w:p>
    <w:p>
      <w:pPr>
        <w:spacing w:before="75" w:after="0"/>
      </w:pPr>
      <w:r>
        <w:rPr/>
        <w:t xml:space="preserve">二、利率上行/下行风险</w:t>
      </w:r>
    </w:p>
    <w:p>
      <w:pPr>
        <w:spacing w:before="75" w:after="0"/>
      </w:pPr>
      <w:r>
        <w:rPr/>
        <w:t xml:space="preserve">三、信用债违约传导</w:t>
      </w:r>
    </w:p>
    <w:p>
      <w:pPr>
        <w:spacing w:before="75" w:after="0"/>
      </w:pPr>
      <w:r>
        <w:rPr/>
        <w:t xml:space="preserve">第三节 信用违约风险</w:t>
      </w:r>
    </w:p>
    <w:p>
      <w:pPr>
        <w:spacing w:before="75" w:after="0"/>
      </w:pPr>
      <w:r>
        <w:rPr/>
        <w:t xml:space="preserve">一、交易对手风险</w:t>
      </w:r>
    </w:p>
    <w:p>
      <w:pPr>
        <w:spacing w:before="75" w:after="0"/>
      </w:pPr>
      <w:r>
        <w:rPr/>
        <w:t xml:space="preserve">二、底层资产质量</w:t>
      </w:r>
    </w:p>
    <w:p>
      <w:pPr>
        <w:spacing w:before="75" w:after="0"/>
      </w:pPr>
      <w:r>
        <w:rPr/>
        <w:t xml:space="preserve">三、刚兑打破压力</w:t>
      </w:r>
    </w:p>
    <w:p>
      <w:pPr>
        <w:spacing w:before="75" w:after="0"/>
      </w:pPr>
      <w:r>
        <w:rPr/>
        <w:t xml:space="preserve">第四节 操作与技术风险</w:t>
      </w:r>
    </w:p>
    <w:p>
      <w:pPr>
        <w:spacing w:before="75" w:after="0"/>
      </w:pPr>
      <w:r>
        <w:rPr/>
        <w:t xml:space="preserve">一、系统安全风险</w:t>
      </w:r>
    </w:p>
    <w:p>
      <w:pPr>
        <w:spacing w:before="75" w:after="0"/>
      </w:pPr>
      <w:r>
        <w:rPr/>
        <w:t xml:space="preserve">二、模型风险</w:t>
      </w:r>
    </w:p>
    <w:p>
      <w:pPr>
        <w:spacing w:before="75" w:after="0"/>
      </w:pPr>
      <w:r>
        <w:rPr/>
        <w:t xml:space="preserve">三、人员道德风险</w:t>
      </w:r>
    </w:p>
    <w:p>
      <w:pPr>
        <w:spacing w:before="75" w:after="0"/>
      </w:pPr>
      <w:r>
        <w:rPr/>
        <w:t xml:space="preserve">第五节 宏观环境风险</w:t>
      </w:r>
    </w:p>
    <w:p>
      <w:pPr>
        <w:spacing w:before="75" w:after="0"/>
      </w:pPr>
      <w:r>
        <w:rPr/>
        <w:t xml:space="preserve">一、经济周期波动</w:t>
      </w:r>
    </w:p>
    <w:p>
      <w:pPr>
        <w:spacing w:before="75" w:after="0"/>
      </w:pPr>
      <w:r>
        <w:rPr/>
        <w:t xml:space="preserve">二、人口政策调整</w:t>
      </w:r>
    </w:p>
    <w:p>
      <w:pPr>
        <w:spacing w:before="75" w:after="0"/>
      </w:pPr>
      <w:r>
        <w:rPr/>
        <w:t xml:space="preserve">三、国际资本流动</w:t>
      </w:r>
    </w:p>
    <w:p>
      <w:pPr>
        <w:spacing w:before="75" w:after="0"/>
      </w:pPr>
      <w:r>
        <w:rPr>
          <w:b w:val="1"/>
          <w:bCs w:val="1"/>
        </w:rPr>
        <w:t xml:space="preserve">第八部分 投资战略研究</w:t>
      </w:r>
    </w:p>
    <w:p>
      <w:pPr>
        <w:spacing w:before="75" w:after="0"/>
      </w:pPr>
      <w:r>
        <w:rPr>
          <w:b w:val="1"/>
          <w:bCs w:val="1"/>
        </w:rPr>
        <w:t xml:space="preserve">第十八章 投资逻辑与机会识别</w:t>
      </w:r>
    </w:p>
    <w:p>
      <w:pPr>
        <w:spacing w:before="75" w:after="0"/>
      </w:pPr>
      <w:r>
        <w:rPr/>
        <w:t xml:space="preserve">第一节 投资价值评估模型</w:t>
      </w:r>
    </w:p>
    <w:p>
      <w:pPr>
        <w:spacing w:before="75" w:after="0"/>
      </w:pPr>
      <w:r>
        <w:rPr/>
        <w:t xml:space="preserve">一、dcf模型适用性调整</w:t>
      </w:r>
    </w:p>
    <w:p>
      <w:pPr>
        <w:spacing w:before="75" w:after="0"/>
      </w:pPr>
      <w:r>
        <w:rPr/>
        <w:t xml:space="preserve">二、相对估值法基准选择</w:t>
      </w:r>
    </w:p>
    <w:p>
      <w:pPr>
        <w:spacing w:before="75" w:after="0"/>
      </w:pPr>
      <w:r>
        <w:rPr/>
        <w:t xml:space="preserve">三、实物期权法应用</w:t>
      </w:r>
    </w:p>
    <w:p>
      <w:pPr>
        <w:spacing w:before="75" w:after="0"/>
      </w:pPr>
      <w:r>
        <w:rPr/>
        <w:t xml:space="preserve">第二节 产业链投资机会</w:t>
      </w:r>
    </w:p>
    <w:p>
      <w:pPr>
        <w:spacing w:before="75" w:after="0"/>
      </w:pPr>
      <w:r>
        <w:rPr/>
        <w:t xml:space="preserve">一、上游：资产配置策略</w:t>
      </w:r>
    </w:p>
    <w:p>
      <w:pPr>
        <w:spacing w:before="75" w:after="0"/>
      </w:pPr>
      <w:r>
        <w:rPr/>
        <w:t xml:space="preserve">二、中游：产品创设与分销</w:t>
      </w:r>
    </w:p>
    <w:p>
      <w:pPr>
        <w:spacing w:before="75" w:after="0"/>
      </w:pPr>
      <w:r>
        <w:rPr/>
        <w:t xml:space="preserve">三、下游：服务整合与科技赋能</w:t>
      </w:r>
    </w:p>
    <w:p>
      <w:pPr>
        <w:spacing w:before="75" w:after="0"/>
      </w:pPr>
      <w:r>
        <w:rPr/>
        <w:t xml:space="preserve">第三节 细分市场机会矩阵</w:t>
      </w:r>
    </w:p>
    <w:p>
      <w:pPr>
        <w:spacing w:before="75" w:after="0"/>
      </w:pPr>
      <w:r>
        <w:rPr/>
        <w:t xml:space="preserve">一、高成长高利润象限</w:t>
      </w:r>
    </w:p>
    <w:p>
      <w:pPr>
        <w:spacing w:before="75" w:after="0"/>
      </w:pPr>
      <w:r>
        <w:rPr/>
        <w:t xml:space="preserve">二、高成长低利润象限</w:t>
      </w:r>
    </w:p>
    <w:p>
      <w:pPr>
        <w:spacing w:before="75" w:after="0"/>
      </w:pPr>
      <w:r>
        <w:rPr/>
        <w:t xml:space="preserve">三、低成长稳收益象限</w:t>
      </w:r>
    </w:p>
    <w:p>
      <w:pPr>
        <w:spacing w:before="75" w:after="0"/>
      </w:pPr>
      <w:r>
        <w:rPr/>
        <w:t xml:space="preserve">第四节 区域布局机会排序</w:t>
      </w:r>
    </w:p>
    <w:p>
      <w:pPr>
        <w:spacing w:before="75" w:after="0"/>
      </w:pPr>
      <w:r>
        <w:rPr/>
        <w:t xml:space="preserve">一、市场成熟度评分</w:t>
      </w:r>
    </w:p>
    <w:p>
      <w:pPr>
        <w:spacing w:before="75" w:after="0"/>
      </w:pPr>
      <w:r>
        <w:rPr/>
        <w:t xml:space="preserve">二、政策支持力度</w:t>
      </w:r>
    </w:p>
    <w:p>
      <w:pPr>
        <w:spacing w:before="75" w:after="0"/>
      </w:pPr>
      <w:r>
        <w:rPr/>
        <w:t xml:space="preserve">三、竞争饱和度</w:t>
      </w:r>
    </w:p>
    <w:p>
      <w:pPr>
        <w:spacing w:before="75" w:after="0"/>
      </w:pPr>
      <w:r>
        <w:rPr>
          <w:b w:val="1"/>
          <w:bCs w:val="1"/>
        </w:rPr>
        <w:t xml:space="preserve">第十九章 投资策略体系构建</w:t>
      </w:r>
    </w:p>
    <w:p>
      <w:pPr>
        <w:spacing w:before="75" w:after="0"/>
      </w:pPr>
      <w:r>
        <w:rPr/>
        <w:t xml:space="preserve">第一节 资产配置策略</w:t>
      </w:r>
    </w:p>
    <w:p>
      <w:pPr>
        <w:spacing w:before="75" w:after="0"/>
      </w:pPr>
      <w:r>
        <w:rPr/>
        <w:t xml:space="preserve">一、战略资产配置基准</w:t>
      </w:r>
    </w:p>
    <w:p>
      <w:pPr>
        <w:spacing w:before="75" w:after="0"/>
      </w:pPr>
      <w:r>
        <w:rPr/>
        <w:t xml:space="preserve">二、战术调整触发条件</w:t>
      </w:r>
    </w:p>
    <w:p>
      <w:pPr>
        <w:spacing w:before="75" w:after="0"/>
      </w:pPr>
      <w:r>
        <w:rPr/>
        <w:t xml:space="preserve">三、再平衡频率与阈值</w:t>
      </w:r>
    </w:p>
    <w:p>
      <w:pPr>
        <w:spacing w:before="75" w:after="0"/>
      </w:pPr>
      <w:r>
        <w:rPr/>
        <w:t xml:space="preserve">第二节 投资组合构建</w:t>
      </w:r>
    </w:p>
    <w:p>
      <w:pPr>
        <w:spacing w:before="75" w:after="0"/>
      </w:pPr>
      <w:r>
        <w:rPr/>
        <w:t xml:space="preserve">一、核心-卫星组合设计</w:t>
      </w:r>
    </w:p>
    <w:p>
      <w:pPr>
        <w:spacing w:before="75" w:after="0"/>
      </w:pPr>
      <w:r>
        <w:rPr/>
        <w:t xml:space="preserve">二、风险平价模型应用</w:t>
      </w:r>
    </w:p>
    <w:p>
      <w:pPr>
        <w:spacing w:before="75" w:after="0"/>
      </w:pPr>
      <w:r>
        <w:rPr/>
        <w:t xml:space="preserve">三、滑块策略与生命周期</w:t>
      </w:r>
    </w:p>
    <w:p>
      <w:pPr>
        <w:spacing w:before="75" w:after="0"/>
      </w:pPr>
      <w:r>
        <w:rPr/>
        <w:t xml:space="preserve">第三节 风险管控机制</w:t>
      </w:r>
    </w:p>
    <w:p>
      <w:pPr>
        <w:spacing w:before="75" w:after="0"/>
      </w:pPr>
      <w:r>
        <w:rPr/>
        <w:t xml:space="preserve">一、var与压力测试</w:t>
      </w:r>
    </w:p>
    <w:p>
      <w:pPr>
        <w:spacing w:before="75" w:after="0"/>
      </w:pPr>
      <w:r>
        <w:rPr/>
        <w:t xml:space="preserve">二、流动性储备要求</w:t>
      </w:r>
    </w:p>
    <w:p>
      <w:pPr>
        <w:spacing w:before="75" w:after="0"/>
      </w:pPr>
      <w:r>
        <w:rPr/>
        <w:t xml:space="preserve">三、集中度限制</w:t>
      </w:r>
    </w:p>
    <w:p>
      <w:pPr>
        <w:spacing w:before="75" w:after="0"/>
      </w:pPr>
      <w:r>
        <w:rPr/>
        <w:t xml:space="preserve">第四节 退出机制设计</w:t>
      </w:r>
    </w:p>
    <w:p>
      <w:pPr>
        <w:spacing w:before="75" w:after="0"/>
      </w:pPr>
      <w:r>
        <w:rPr/>
        <w:t xml:space="preserve">一、持有期与赎回条款</w:t>
      </w:r>
    </w:p>
    <w:p>
      <w:pPr>
        <w:spacing w:before="75" w:after="0"/>
      </w:pPr>
      <w:r>
        <w:rPr/>
        <w:t xml:space="preserve">二、二级市场转让</w:t>
      </w:r>
    </w:p>
    <w:p>
      <w:pPr>
        <w:spacing w:before="75" w:after="0"/>
      </w:pPr>
      <w:r>
        <w:rPr/>
        <w:t xml:space="preserve">三、并购退出路径</w:t>
      </w:r>
    </w:p>
    <w:p>
      <w:pPr>
        <w:spacing w:before="75" w:after="0"/>
      </w:pPr>
      <w:r>
        <w:rPr>
          <w:b w:val="1"/>
          <w:bCs w:val="1"/>
        </w:rPr>
        <w:t xml:space="preserve">第二十章 可持续发展路径</w:t>
      </w:r>
    </w:p>
    <w:p>
      <w:pPr>
        <w:spacing w:before="75" w:after="0"/>
      </w:pPr>
      <w:r>
        <w:rPr/>
        <w:t xml:space="preserve">第一节 esg投资理念融入</w:t>
      </w:r>
    </w:p>
    <w:p>
      <w:pPr>
        <w:spacing w:before="75" w:after="0"/>
      </w:pPr>
      <w:r>
        <w:rPr/>
        <w:t xml:space="preserve">一、养老金融的社会属性</w:t>
      </w:r>
    </w:p>
    <w:p>
      <w:pPr>
        <w:spacing w:before="75" w:after="0"/>
      </w:pPr>
      <w:r>
        <w:rPr/>
        <w:t xml:space="preserve">二、esg评级体系构建</w:t>
      </w:r>
    </w:p>
    <w:p>
      <w:pPr>
        <w:spacing w:before="75" w:after="0"/>
      </w:pPr>
      <w:r>
        <w:rPr/>
        <w:t xml:space="preserve">三、绿色养老投资标的</w:t>
      </w:r>
    </w:p>
    <w:p>
      <w:pPr>
        <w:spacing w:before="75" w:after="0"/>
      </w:pPr>
      <w:r>
        <w:rPr/>
        <w:t xml:space="preserve">第二节 长期价值创造机制</w:t>
      </w:r>
    </w:p>
    <w:p>
      <w:pPr>
        <w:spacing w:before="75" w:after="0"/>
      </w:pPr>
      <w:r>
        <w:rPr/>
        <w:t xml:space="preserve">一、客户生命周期管理</w:t>
      </w:r>
    </w:p>
    <w:p>
      <w:pPr>
        <w:spacing w:before="75" w:after="0"/>
      </w:pPr>
      <w:r>
        <w:rPr/>
        <w:t xml:space="preserve">二、品牌信任积累</w:t>
      </w:r>
    </w:p>
    <w:p>
      <w:pPr>
        <w:spacing w:before="75" w:after="0"/>
      </w:pPr>
      <w:r>
        <w:rPr/>
        <w:t xml:space="preserve">三、复利效应最大化</w:t>
      </w:r>
    </w:p>
    <w:p>
      <w:pPr>
        <w:spacing w:before="75" w:after="0"/>
      </w:pPr>
      <w:r>
        <w:rPr/>
        <w:t xml:space="preserve">第三节 生态责任履行</w:t>
      </w:r>
    </w:p>
    <w:p>
      <w:pPr>
        <w:spacing w:before="75" w:after="0"/>
      </w:pPr>
      <w:r>
        <w:rPr/>
        <w:t xml:space="preserve">一、金融消费者权益保护</w:t>
      </w:r>
    </w:p>
    <w:p>
      <w:pPr>
        <w:spacing w:before="75" w:after="0"/>
      </w:pPr>
      <w:r>
        <w:rPr/>
        <w:t xml:space="preserve">二、普惠金融实践</w:t>
      </w:r>
    </w:p>
    <w:p>
      <w:pPr>
        <w:spacing w:before="75" w:after="0"/>
      </w:pPr>
      <w:r>
        <w:rPr/>
        <w:t xml:space="preserve">三、行业教育与赋能</w:t>
      </w:r>
    </w:p>
    <w:p>
      <w:pPr>
        <w:spacing w:before="75" w:after="0"/>
      </w:pPr>
      <w:r>
        <w:rPr/>
        <w:t xml:space="preserve">第四节 行业规范建设</w:t>
      </w:r>
    </w:p>
    <w:p>
      <w:pPr>
        <w:spacing w:before="75" w:after="0"/>
      </w:pPr>
      <w:r>
        <w:rPr/>
        <w:t xml:space="preserve">一、信息披露标准</w:t>
      </w:r>
    </w:p>
    <w:p>
      <w:pPr>
        <w:spacing w:before="75" w:after="0"/>
      </w:pPr>
      <w:r>
        <w:rPr/>
        <w:t xml:space="preserve">二、从业人员资质认证</w:t>
      </w:r>
    </w:p>
    <w:p>
      <w:pPr>
        <w:spacing w:before="75" w:after="0"/>
      </w:pPr>
      <w:r>
        <w:rPr/>
        <w:t xml:space="preserve">三、纠纷解决机制</w:t>
      </w:r>
    </w:p>
    <w:p>
      <w:pPr>
        <w:spacing w:before="75" w:after="0"/>
      </w:pPr>
      <w:r>
        <w:rPr>
          <w:b w:val="1"/>
          <w:bCs w:val="1"/>
        </w:rPr>
        <w:t xml:space="preserve">图表目录</w:t>
      </w:r>
    </w:p>
    <w:p>
      <w:pPr>
        <w:spacing w:before="75" w:after="0"/>
      </w:pPr>
      <w:r>
        <w:rPr/>
        <w:t xml:space="preserve">图表：养老金融行业产业地图</w:t>
      </w:r>
    </w:p>
    <w:p>
      <w:pPr>
        <w:spacing w:before="75" w:after="0"/>
      </w:pPr>
      <w:r>
        <w:rPr/>
        <w:t xml:space="preserve">图表：2020-2030年中国65岁及以上人口数量及占比</w:t>
      </w:r>
    </w:p>
    <w:p>
      <w:pPr>
        <w:spacing w:before="75" w:after="0"/>
      </w:pPr>
      <w:r>
        <w:rPr/>
        <w:t xml:space="preserve">图表：2020-2030年中国老年抚养比变化趋势</w:t>
      </w:r>
    </w:p>
    <w:p>
      <w:pPr>
        <w:spacing w:before="75" w:after="0"/>
      </w:pPr>
      <w:r>
        <w:rPr/>
        <w:t xml:space="preserve">图表：2020-2030年全球养老金融行业市场规模及增速</w:t>
      </w:r>
    </w:p>
    <w:p>
      <w:pPr>
        <w:spacing w:before="75" w:after="0"/>
      </w:pPr>
      <w:r>
        <w:rPr/>
        <w:t xml:space="preserve">图表：主要国家养老保障三支柱资产结构对比</w:t>
      </w:r>
    </w:p>
    <w:p>
      <w:pPr>
        <w:spacing w:before="75" w:after="0"/>
      </w:pPr>
      <w:r>
        <w:rPr/>
        <w:t xml:space="preserve">图表：2026-2031年中国养老金融行业市场规模及预测</w:t>
      </w:r>
    </w:p>
    <w:p>
      <w:pPr>
        <w:spacing w:before="75" w:after="0"/>
      </w:pPr>
      <w:r>
        <w:rPr/>
        <w:t xml:space="preserve">图表：中国养老金融细分市场结构分布</w:t>
      </w:r>
    </w:p>
    <w:p>
      <w:pPr>
        <w:spacing w:before="75" w:after="0"/>
      </w:pPr>
      <w:r>
        <w:rPr/>
        <w:t xml:space="preserve">图表：养老金融行业市场主体数量变化</w:t>
      </w:r>
    </w:p>
    <w:p>
      <w:pPr>
        <w:spacing w:before="75" w:after="0"/>
      </w:pPr>
      <w:r>
        <w:rPr/>
        <w:t xml:space="preserve">图表：各类养老金融产品发行规模对比</w:t>
      </w:r>
    </w:p>
    <w:p>
      <w:pPr>
        <w:spacing w:before="75" w:after="0"/>
      </w:pPr>
      <w:r>
        <w:rPr/>
        <w:t xml:space="preserve">图表：不同机构养老金融产品平均收益率分布</w:t>
      </w:r>
    </w:p>
    <w:p>
      <w:pPr>
        <w:spacing w:before="75" w:after="0"/>
      </w:pPr>
      <w:r>
        <w:rPr/>
        <w:t xml:space="preserve">图表：养老金融服务覆盖率与满意度</w:t>
      </w:r>
    </w:p>
    <w:p>
      <w:pPr>
        <w:spacing w:before="75" w:after="0"/>
      </w:pPr>
      <w:r>
        <w:rPr/>
        <w:t xml:space="preserve">图表：个人养老金账户开户率与缴费率</w:t>
      </w:r>
    </w:p>
    <w:p>
      <w:pPr>
        <w:spacing w:before="75" w:after="0"/>
      </w:pPr>
      <w:r>
        <w:rPr/>
        <w:t xml:space="preserve">图表：三支柱养老金体系资产规模对比</w:t>
      </w:r>
    </w:p>
    <w:p>
      <w:pPr>
        <w:spacing w:before="75" w:after="0"/>
      </w:pPr>
      <w:r>
        <w:rPr/>
        <w:t xml:space="preserve">图表：商业养老年金保险产品结构</w:t>
      </w:r>
    </w:p>
    <w:p>
      <w:pPr>
        <w:spacing w:before="75" w:after="0"/>
      </w:pPr>
      <w:r>
        <w:rPr/>
        <w:t xml:space="preserve">图表：养老理财产品风险等级分布</w:t>
      </w:r>
    </w:p>
    <w:p>
      <w:pPr>
        <w:spacing w:before="75" w:after="0"/>
      </w:pPr>
      <w:r>
        <w:rPr/>
        <w:t xml:space="preserve">图表：养老目标基金下滑轨道设计示例</w:t>
      </w:r>
    </w:p>
    <w:p>
      <w:pPr>
        <w:spacing w:before="75" w:after="0"/>
      </w:pPr>
      <w:r>
        <w:rPr/>
        <w:t xml:space="preserve">图表：养老信托产品期限结构</w:t>
      </w:r>
    </w:p>
    <w:p>
      <w:pPr>
        <w:spacing w:before="75" w:after="0"/>
      </w:pPr>
      <w:r>
        <w:rPr/>
        <w:t xml:space="preserve">图表：养老服务金融支付体系</w:t>
      </w:r>
    </w:p>
    <w:p>
      <w:pPr>
        <w:spacing w:before="75" w:after="0"/>
      </w:pPr>
      <w:r>
        <w:rPr/>
        <w:t xml:space="preserve">图表：养老科技领域融资规模与估值</w:t>
      </w:r>
    </w:p>
    <w:p>
      <w:pPr>
        <w:spacing w:before="75" w:after="0"/>
      </w:pPr>
      <w:r>
        <w:rPr/>
        <w:t xml:space="preserve">图表：区域养老金融市场成熟度评分矩阵</w:t>
      </w:r>
    </w:p>
    <w:p>
      <w:pPr>
        <w:spacing w:before="75" w:after="0"/>
      </w:pPr>
      <w:r>
        <w:rPr/>
        <w:t xml:space="preserve">图表：养老金融行业市场集中度cr5/cr10变化</w:t>
      </w:r>
    </w:p>
    <w:p>
      <w:pPr>
        <w:spacing w:before="75" w:after="0"/>
      </w:pPr>
      <w:r>
        <w:rPr/>
        <w:t xml:space="preserve">图表：各类机构在养老金融市场的份额</w:t>
      </w:r>
    </w:p>
    <w:p>
      <w:pPr>
        <w:spacing w:before="75" w:after="0"/>
      </w:pPr>
      <w:r>
        <w:rPr/>
        <w:t xml:space="preserve">图表：养老金融行业产业链价值链分布</w:t>
      </w:r>
    </w:p>
    <w:p>
      <w:pPr>
        <w:spacing w:before="75" w:after="0"/>
      </w:pPr>
      <w:r>
        <w:rPr/>
        <w:t xml:space="preserve">图表：养老金融行业成本结构分析</w:t>
      </w:r>
    </w:p>
    <w:p>
      <w:pPr>
        <w:spacing w:before="75" w:after="0"/>
      </w:pPr>
      <w:r>
        <w:rPr/>
        <w:t xml:space="preserve">图表：养老金融行业风险热力图</w:t>
      </w:r>
    </w:p>
    <w:p>
      <w:pPr>
        <w:spacing w:before="75" w:after="0"/>
      </w:pPr>
      <w:r>
        <w:rPr/>
        <w:t xml:space="preserve">图表：养老金融投资组合收益-风险散点图</w:t>
      </w:r>
    </w:p>
    <w:p>
      <w:pPr>
        <w:spacing w:before="75" w:after="0"/>
      </w:pPr>
      <w:r>
        <w:rPr/>
        <w:t xml:space="preserve">图表：养老金融细分行业投资价值评估矩阵</w:t>
      </w:r>
    </w:p>
    <w:p>
      <w:pPr>
        <w:spacing w:before="75" w:after="0"/>
      </w:pPr>
      <w:r>
        <w:rPr/>
        <w:t xml:space="preserve">图表：养老金融资产战略配置基准</w:t>
      </w:r>
    </w:p>
    <w:p>
      <w:pPr>
        <w:spacing w:before="75" w:after="0"/>
      </w:pPr>
      <w:r>
        <w:rPr/>
        <w:t xml:space="preserve">图表：esg因素对养老投资收益的影响</w:t>
      </w:r>
    </w:p>
    <w:p>
      <w:pPr>
        <w:spacing w:before="75" w:after="0"/>
      </w:pPr>
      <w:r>
        <w:rPr/>
        <w:t xml:space="preserve">图表：2026-2031年养老金融行业关键指标预测汇总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2026-2031年中国养老金融行业全景调研与投资前景预测报告</dc:title>
  <dc:description>2026-2031年中国养老金融行业全景调研与投资前景预测报告</dc:description>
  <dc:subject>2026-2031年中国养老金融行业全景调研与投资前景预测报告</dc:subject>
  <cp:keywords>研究报告</cp:keywords>
  <cp:category>研究报告</cp:category>
  <cp:lastModifiedBy>北京中道泰和信息咨询有限公司</cp:lastModifiedBy>
  <dcterms:created xsi:type="dcterms:W3CDTF">2026-03-30T18:34:53+08:00</dcterms:created>
  <dcterms:modified xsi:type="dcterms:W3CDTF">2026-03-30T18:34:53+08:00</dcterms:modified>
</cp:coreProperties>
</file>

<file path=docProps/custom.xml><?xml version="1.0" encoding="utf-8"?>
<Properties xmlns="http://schemas.openxmlformats.org/officeDocument/2006/custom-properties" xmlns:vt="http://schemas.openxmlformats.org/officeDocument/2006/docPropsVTypes"/>
</file>