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2026-2031年中国专业化催收行业深度调研与发展战略研究报告</w:t>
      </w:r>
    </w:p>
    <w:p>
      <w:pPr>
        <w:spacing w:after="150"/>
      </w:pPr>
      <w:r>
        <w:rPr>
          <w:b w:val="1"/>
          <w:bCs w:val="1"/>
        </w:rPr>
        <w:t xml:space="preserve">报告简介</w:t>
      </w:r>
    </w:p>
    <w:p>
      <w:pPr>
        <w:spacing w:after="150"/>
      </w:pPr>
      <w:r>
        <w:rPr/>
        <w:t xml:space="preserve">专业化催收行业是指依托金融合规框架与数字化技术手段，通过系统化流程设计、标准化作业规范及专业化人才配置，对逾期债务进行高效、合规、人性化处置的第三方金融服务细分领域。其核心内涵在于将传统催收从粗放式、经验驱动、合规模糊的作业模式，全面升级为以法律遵行、技术赋能、客户体验为导向的专业化服务体系。这不仅涵盖电话、信函、上门等标准化催收手段的精细化运营，更强调通过司法调解、债务重组、信用修复、不良资产处置等增值服务构建全链条解决方案。专业化催收的本质是金融风险管理的市场化延伸，其价值定位已从单一债权追索转向平衡金融机构资产保全、债务人纾困解压与社会信用体系建设的多元目标，成为金融生态健康运行的重要“减压阀”与“稳定器”。</w:t>
      </w:r>
    </w:p>
    <w:p>
      <w:pPr>
        <w:spacing w:after="150"/>
      </w:pPr>
      <w:r>
        <w:rPr/>
        <w:t xml:space="preserve">当前，中国专业化催收行业正处于监管重塑与技术迭代交织的深刻变革期。监管层面，《个人信息保护法》《互联网金融贷后催收业务指引》等法规构筑起全链条合规红线，对催收资质、行为边界、数据安全、消费者权益保护提出系统性要求，行业准入门槛大幅提高，不具备完整合规体系的“作坊式”机构加速淘汰。技术层面，人工智能、大数据风控、区块链存证等金融科技深度嵌入催收全流程，推动作业模式从人力密集型向智能决策型转型，实现债务人精准画像、催收策略动态优化、沟通记录全程留痕，有效破解效率与合规的平衡难题。市场格局呈现“马太效应”，九成以上为中小机构，而具备牌照资源、技术自研能力、品牌公信力的头部专业化机构不足市场总量的5%，行业集中度提升与整合重组趋势明显。与此同时，债务人反催收意识强化、金融消费者投诉渠道畅通，倒逼机构必须摒弃高压策略，转向以协商调解为核心的柔性服务，这对专业化能力提出更高要求。中长期看，专业化催收行业前景广阔且战略价值持续凸显。在“十五五”规划金融安全与普惠金融并重的发展基调下，随着个人破产制度试点推广、征信体系市场化改革深化及金融消费者权益保护机制健全，专业化催收将在不良资产处置生态中扮演更为关键的“缓冲器”与“分流阀”角色，通过市场化调解机制有效缓解司法资源压力，促进社会矛盾柔性化解。行业整体将朝向标准化、智能化、服务化方向演进，具备牌照资源、技术壁垒、综合解决方案能力及跨区域服务网络的头部机构有望引领市场整合，形成百亿级规范化产业集群。未来，专业化催收不再是金融体系的边缘环节，而是连接金融债权保障与社会信用修复的专业化服务纽带，其商业逻辑与社会价值将在监管校准与市场需求的双重驱动下实现再定义，成为金融服务业中兼具商业可持续与社会责任的高成长性板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化催收行业研究单位等公布和提供的大量资料。报告对我国专业化催收行业的供需状况、发展现状、子行业发展变化等进行了分析，重点分析了国内外专业化催收行业的发展现状、如何面对行业的发展挑战、行业的发展建议、行业竞争力，以及行业的投资分析和趋势预测等等。报告还综合了专业化催收行业的整体发展动态，对行业在产品方面提供了参考建议和具体解决办法。报告对于专业化催收产品生产企业、经销商、行业管理部门以及拟进入该行业的投资者具有重要的参考价值，对于研究我国专业化催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行业界定与基本概念</w:t>
      </w:r>
    </w:p>
    <w:p>
      <w:pPr>
        <w:spacing w:before="75" w:after="0"/>
      </w:pPr>
      <w:r>
        <w:rPr/>
        <w:t xml:space="preserve">第一节 专业化催收行业定义与范畴</w:t>
      </w:r>
    </w:p>
    <w:p>
      <w:pPr>
        <w:spacing w:before="75" w:after="0"/>
      </w:pPr>
      <w:r>
        <w:rPr/>
        <w:t xml:space="preserve">一、行业基本定义与业务边界</w:t>
      </w:r>
    </w:p>
    <w:p>
      <w:pPr>
        <w:spacing w:before="75" w:after="0"/>
      </w:pPr>
      <w:r>
        <w:rPr/>
        <w:t xml:space="preserve">二、产业分类与统计口径</w:t>
      </w:r>
    </w:p>
    <w:p>
      <w:pPr>
        <w:spacing w:before="75" w:after="0"/>
      </w:pPr>
      <w:r>
        <w:rPr/>
        <w:t xml:space="preserve">三、行业属性与国民经济定位</w:t>
      </w:r>
    </w:p>
    <w:p>
      <w:pPr>
        <w:spacing w:before="75" w:after="0"/>
      </w:pPr>
      <w:r>
        <w:rPr/>
        <w:t xml:space="preserve">第二节 研究方法与数据来源</w:t>
      </w:r>
    </w:p>
    <w:p>
      <w:pPr>
        <w:spacing w:before="75" w:after="0"/>
      </w:pPr>
      <w:r>
        <w:rPr/>
        <w:t xml:space="preserve">一、研究框架与技术路线</w:t>
      </w:r>
    </w:p>
    <w:p>
      <w:pPr>
        <w:spacing w:before="75" w:after="0"/>
      </w:pPr>
      <w:r>
        <w:rPr/>
        <w:t xml:space="preserve">二、数据获取渠道与处理标准</w:t>
      </w:r>
    </w:p>
    <w:p>
      <w:pPr>
        <w:spacing w:before="75" w:after="0"/>
      </w:pPr>
      <w:r>
        <w:rPr/>
        <w:t xml:space="preserve">三、研究范围与时限说明</w:t>
      </w:r>
    </w:p>
    <w:p>
      <w:pPr>
        <w:spacing w:before="75" w:after="0"/>
      </w:pPr>
      <w:r>
        <w:rPr/>
        <w:t xml:space="preserve">第三节 报告核心结论摘要</w:t>
      </w:r>
    </w:p>
    <w:p>
      <w:pPr>
        <w:spacing w:before="75" w:after="0"/>
      </w:pPr>
      <w:r>
        <w:rPr>
          <w:b w:val="1"/>
          <w:bCs w:val="1"/>
        </w:rPr>
        <w:t xml:space="preserve">第二章 全球专业化催收行业发展现状</w:t>
      </w:r>
    </w:p>
    <w:p>
      <w:pPr>
        <w:spacing w:before="75" w:after="0"/>
      </w:pPr>
      <w:r>
        <w:rPr/>
        <w:t xml:space="preserve">第一节 全球市场规模与区域格局</w:t>
      </w:r>
    </w:p>
    <w:p>
      <w:pPr>
        <w:spacing w:before="75" w:after="0"/>
      </w:pPr>
      <w:r>
        <w:rPr/>
        <w:t xml:space="preserve">一、2023-2025年全球市场规模与增速</w:t>
      </w:r>
    </w:p>
    <w:p>
      <w:pPr>
        <w:spacing w:before="75" w:after="0"/>
      </w:pPr>
      <w:r>
        <w:rPr/>
        <w:t xml:space="preserve">二、主要区域市场占比分析</w:t>
      </w:r>
    </w:p>
    <w:p>
      <w:pPr>
        <w:spacing w:before="75" w:after="0"/>
      </w:pPr>
      <w:r>
        <w:rPr/>
        <w:t xml:space="preserve">三、典型国家发展模式对比</w:t>
      </w:r>
    </w:p>
    <w:p>
      <w:pPr>
        <w:spacing w:before="75" w:after="0"/>
      </w:pPr>
      <w:r>
        <w:rPr/>
        <w:t xml:space="preserve">第二节 全球行业发展阶段特征</w:t>
      </w:r>
    </w:p>
    <w:p>
      <w:pPr>
        <w:spacing w:before="75" w:after="0"/>
      </w:pPr>
      <w:r>
        <w:rPr/>
        <w:t xml:space="preserve">一、数字化转型进程评估</w:t>
      </w:r>
    </w:p>
    <w:p>
      <w:pPr>
        <w:spacing w:before="75" w:after="0"/>
      </w:pPr>
      <w:r>
        <w:rPr/>
        <w:t xml:space="preserve">二、技术渗透率与自动化水平</w:t>
      </w:r>
    </w:p>
    <w:p>
      <w:pPr>
        <w:spacing w:before="75" w:after="0"/>
      </w:pPr>
      <w:r>
        <w:rPr/>
        <w:t xml:space="preserve">三、合规体系建设成熟度</w:t>
      </w:r>
    </w:p>
    <w:p>
      <w:pPr>
        <w:spacing w:before="75" w:after="0"/>
      </w:pPr>
      <w:r>
        <w:rPr/>
        <w:t xml:space="preserve">第三节 全球行业发展趋势研判</w:t>
      </w:r>
    </w:p>
    <w:p>
      <w:pPr>
        <w:spacing w:before="75" w:after="0"/>
      </w:pPr>
      <w:r>
        <w:rPr/>
        <w:t xml:space="preserve">一、人工智能催收应用深化方向</w:t>
      </w:r>
    </w:p>
    <w:p>
      <w:pPr>
        <w:spacing w:before="75" w:after="0"/>
      </w:pPr>
      <w:r>
        <w:rPr/>
        <w:t xml:space="preserve">二、全渠道客户触达模式演进</w:t>
      </w:r>
    </w:p>
    <w:p>
      <w:pPr>
        <w:spacing w:before="75" w:after="0"/>
      </w:pPr>
      <w:r>
        <w:rPr/>
        <w:t xml:space="preserve">三、行业集中度变化轨迹</w:t>
      </w:r>
    </w:p>
    <w:p>
      <w:pPr>
        <w:spacing w:before="75" w:after="0"/>
      </w:pPr>
      <w:r>
        <w:rPr>
          <w:b w:val="1"/>
          <w:bCs w:val="1"/>
        </w:rPr>
        <w:t xml:space="preserve">第三章 中国专业化催收行业发展环境</w:t>
      </w:r>
    </w:p>
    <w:p>
      <w:pPr>
        <w:spacing w:before="75" w:after="0"/>
      </w:pPr>
      <w:r>
        <w:rPr/>
        <w:t xml:space="preserve">第一节 宏观经济与信用环境</w:t>
      </w:r>
    </w:p>
    <w:p>
      <w:pPr>
        <w:spacing w:before="75" w:after="0"/>
      </w:pPr>
      <w:r>
        <w:rPr/>
        <w:t xml:space="preserve">一、2026-2031年债务规模增长预期</w:t>
      </w:r>
    </w:p>
    <w:p>
      <w:pPr>
        <w:spacing w:before="75" w:after="0"/>
      </w:pPr>
      <w:r>
        <w:rPr/>
        <w:t xml:space="preserve">二、居民杠杆率变化趋势</w:t>
      </w:r>
    </w:p>
    <w:p>
      <w:pPr>
        <w:spacing w:before="75" w:after="0"/>
      </w:pPr>
      <w:r>
        <w:rPr/>
        <w:t xml:space="preserve">三、企业应收账款规模预测</w:t>
      </w:r>
    </w:p>
    <w:p>
      <w:pPr>
        <w:spacing w:before="75" w:after="0"/>
      </w:pPr>
      <w:r>
        <w:rPr/>
        <w:t xml:space="preserve">第二节 技术环境变革</w:t>
      </w:r>
    </w:p>
    <w:p>
      <w:pPr>
        <w:spacing w:before="75" w:after="0"/>
      </w:pPr>
      <w:r>
        <w:rPr/>
        <w:t xml:space="preserve">一、大数据与ai技术成熟度</w:t>
      </w:r>
    </w:p>
    <w:p>
      <w:pPr>
        <w:spacing w:before="75" w:after="0"/>
      </w:pPr>
      <w:r>
        <w:rPr/>
        <w:t xml:space="preserve">二、云计算基础设施覆盖率</w:t>
      </w:r>
    </w:p>
    <w:p>
      <w:pPr>
        <w:spacing w:before="75" w:after="0"/>
      </w:pPr>
      <w:r>
        <w:rPr/>
        <w:t xml:space="preserve">三、区块链存证应用普及度</w:t>
      </w:r>
    </w:p>
    <w:p>
      <w:pPr>
        <w:spacing w:before="75" w:after="0"/>
      </w:pPr>
      <w:r>
        <w:rPr/>
        <w:t xml:space="preserve">第三节 社会信用体系建设</w:t>
      </w:r>
    </w:p>
    <w:p>
      <w:pPr>
        <w:spacing w:before="75" w:after="0"/>
      </w:pPr>
      <w:r>
        <w:rPr/>
        <w:t xml:space="preserve">一、失信惩戒机制完善程度</w:t>
      </w:r>
    </w:p>
    <w:p>
      <w:pPr>
        <w:spacing w:before="75" w:after="0"/>
      </w:pPr>
      <w:r>
        <w:rPr/>
        <w:t xml:space="preserve">二、个人征信体系覆盖面</w:t>
      </w:r>
    </w:p>
    <w:p>
      <w:pPr>
        <w:spacing w:before="75" w:after="0"/>
      </w:pPr>
      <w:r>
        <w:rPr/>
        <w:t xml:space="preserve">三、企业信用评级应用情况</w:t>
      </w:r>
    </w:p>
    <w:p>
      <w:pPr>
        <w:spacing w:before="75" w:after="0"/>
      </w:pPr>
      <w:r>
        <w:rPr>
          <w:b w:val="1"/>
          <w:bCs w:val="1"/>
        </w:rPr>
        <w:t xml:space="preserve">第四章 中国专业化催收市场规模测算</w:t>
      </w:r>
    </w:p>
    <w:p>
      <w:pPr>
        <w:spacing w:before="75" w:after="0"/>
      </w:pPr>
      <w:r>
        <w:rPr/>
        <w:t xml:space="preserve">第一节 整体市场规模</w:t>
      </w:r>
    </w:p>
    <w:p>
      <w:pPr>
        <w:spacing w:before="75" w:after="0"/>
      </w:pPr>
      <w:r>
        <w:rPr/>
        <w:t xml:space="preserve">一、2023-2025年历史规模回溯</w:t>
      </w:r>
    </w:p>
    <w:p>
      <w:pPr>
        <w:spacing w:before="75" w:after="0"/>
      </w:pPr>
      <w:r>
        <w:rPr/>
        <w:t xml:space="preserve">二、2026-2031年市场规模预测</w:t>
      </w:r>
    </w:p>
    <w:p>
      <w:pPr>
        <w:spacing w:before="75" w:after="0"/>
      </w:pPr>
      <w:r>
        <w:rPr/>
        <w:t xml:space="preserve">第二节 市场结构分析</w:t>
      </w:r>
    </w:p>
    <w:p>
      <w:pPr>
        <w:spacing w:before="75" w:after="0"/>
      </w:pPr>
      <w:r>
        <w:rPr/>
        <w:t xml:space="preserve">一、委外催收与自营催收占比</w:t>
      </w:r>
    </w:p>
    <w:p>
      <w:pPr>
        <w:spacing w:before="75" w:after="0"/>
      </w:pPr>
      <w:r>
        <w:rPr/>
        <w:t xml:space="preserve">二、个人业务与企业业务结构</w:t>
      </w:r>
    </w:p>
    <w:p>
      <w:pPr>
        <w:spacing w:before="75" w:after="0"/>
      </w:pPr>
      <w:r>
        <w:rPr/>
        <w:t xml:space="preserve">三、早期催收与不良资产处置比例</w:t>
      </w:r>
    </w:p>
    <w:p>
      <w:pPr>
        <w:spacing w:before="75" w:after="0"/>
      </w:pPr>
      <w:r>
        <w:rPr/>
        <w:t xml:space="preserve">第三节 市场增量空间</w:t>
      </w:r>
    </w:p>
    <w:p>
      <w:pPr>
        <w:spacing w:before="75" w:after="0"/>
      </w:pPr>
      <w:r>
        <w:rPr/>
        <w:t xml:space="preserve">一、金融类不良资产增长贡献度</w:t>
      </w:r>
    </w:p>
    <w:p>
      <w:pPr>
        <w:spacing w:before="75" w:after="0"/>
      </w:pPr>
      <w:r>
        <w:rPr/>
        <w:t xml:space="preserve">二、消费信贷逾期规模转化率</w:t>
      </w:r>
    </w:p>
    <w:p>
      <w:pPr>
        <w:spacing w:before="75" w:after="0"/>
      </w:pPr>
      <w:r>
        <w:rPr/>
        <w:t xml:space="preserve">三、供应链金融账期延长带来的增量</w:t>
      </w:r>
    </w:p>
    <w:p>
      <w:pPr>
        <w:spacing w:before="75" w:after="0"/>
      </w:pPr>
      <w:r>
        <w:rPr>
          <w:b w:val="1"/>
          <w:bCs w:val="1"/>
        </w:rPr>
        <w:t xml:space="preserve">第五章 产业链结构与生态体系</w:t>
      </w:r>
    </w:p>
    <w:p>
      <w:pPr>
        <w:spacing w:before="75" w:after="0"/>
      </w:pPr>
      <w:r>
        <w:rPr/>
        <w:t xml:space="preserve">第一节 产业链上游</w:t>
      </w:r>
    </w:p>
    <w:p>
      <w:pPr>
        <w:spacing w:before="75" w:after="0"/>
      </w:pPr>
      <w:r>
        <w:rPr/>
        <w:t xml:space="preserve">一、数据服务商供给能力</w:t>
      </w:r>
    </w:p>
    <w:p>
      <w:pPr>
        <w:spacing w:before="75" w:after="0"/>
      </w:pPr>
      <w:r>
        <w:rPr/>
        <w:t xml:space="preserve">二、征信机构信息输出规模</w:t>
      </w:r>
    </w:p>
    <w:p>
      <w:pPr>
        <w:spacing w:before="75" w:after="0"/>
      </w:pPr>
      <w:r>
        <w:rPr/>
        <w:t xml:space="preserve">三、技术解决方案商市场格局</w:t>
      </w:r>
    </w:p>
    <w:p>
      <w:pPr>
        <w:spacing w:before="75" w:after="0"/>
      </w:pPr>
      <w:r>
        <w:rPr/>
        <w:t xml:space="preserve">第二节 产业链中游</w:t>
      </w:r>
    </w:p>
    <w:p>
      <w:pPr>
        <w:spacing w:before="75" w:after="0"/>
      </w:pPr>
      <w:r>
        <w:rPr/>
        <w:t xml:space="preserve">一、催收机构数量变化趋势</w:t>
      </w:r>
    </w:p>
    <w:p>
      <w:pPr>
        <w:spacing w:before="75" w:after="0"/>
      </w:pPr>
      <w:r>
        <w:rPr/>
        <w:t xml:space="preserve">二、从业人员规模与结构</w:t>
      </w:r>
    </w:p>
    <w:p>
      <w:pPr>
        <w:spacing w:before="75" w:after="0"/>
      </w:pPr>
      <w:r>
        <w:rPr/>
        <w:t xml:space="preserve">三、人均产能与效率指标</w:t>
      </w:r>
    </w:p>
    <w:p>
      <w:pPr>
        <w:spacing w:before="75" w:after="0"/>
      </w:pPr>
      <w:r>
        <w:rPr/>
        <w:t xml:space="preserve">第三节 产业链下游</w:t>
      </w:r>
    </w:p>
    <w:p>
      <w:pPr>
        <w:spacing w:before="75" w:after="0"/>
      </w:pPr>
      <w:r>
        <w:rPr/>
        <w:t xml:space="preserve">一、银行机构催收需求规模</w:t>
      </w:r>
    </w:p>
    <w:p>
      <w:pPr>
        <w:spacing w:before="75" w:after="0"/>
      </w:pPr>
      <w:r>
        <w:rPr/>
        <w:t xml:space="preserve">二、消费金融公司外包渗透率</w:t>
      </w:r>
    </w:p>
    <w:p>
      <w:pPr>
        <w:spacing w:before="75" w:after="0"/>
      </w:pPr>
      <w:r>
        <w:rPr/>
        <w:t xml:space="preserve">三、电商平台应收账款管理需求</w:t>
      </w:r>
    </w:p>
    <w:p>
      <w:pPr>
        <w:spacing w:before="75" w:after="0"/>
      </w:pPr>
      <w:r>
        <w:rPr>
          <w:b w:val="1"/>
          <w:bCs w:val="1"/>
        </w:rPr>
        <w:t xml:space="preserve">第六章 按催收方式细分市场</w:t>
      </w:r>
    </w:p>
    <w:p>
      <w:pPr>
        <w:spacing w:before="75" w:after="0"/>
      </w:pPr>
      <w:r>
        <w:rPr/>
        <w:t xml:space="preserve">第一节 电话催收市场</w:t>
      </w:r>
    </w:p>
    <w:p>
      <w:pPr>
        <w:spacing w:before="75" w:after="0"/>
      </w:pPr>
      <w:r>
        <w:rPr/>
        <w:t xml:space="preserve">一、2023-2030年市场规模与份额</w:t>
      </w:r>
    </w:p>
    <w:p>
      <w:pPr>
        <w:spacing w:before="75" w:after="0"/>
      </w:pPr>
      <w:r>
        <w:rPr/>
        <w:t xml:space="preserve">二、机器人外呼替代率预测</w:t>
      </w:r>
    </w:p>
    <w:p>
      <w:pPr>
        <w:spacing w:before="75" w:after="0"/>
      </w:pPr>
      <w:r>
        <w:rPr/>
        <w:t xml:space="preserve">三、通话成功率与合规成本变化</w:t>
      </w:r>
    </w:p>
    <w:p>
      <w:pPr>
        <w:spacing w:before="75" w:after="0"/>
      </w:pPr>
      <w:r>
        <w:rPr/>
        <w:t xml:space="preserve">第二节 短信催收市场</w:t>
      </w:r>
    </w:p>
    <w:p>
      <w:pPr>
        <w:spacing w:before="75" w:after="0"/>
      </w:pPr>
      <w:r>
        <w:rPr/>
        <w:t xml:space="preserve">一、触达效率与转化率走势</w:t>
      </w:r>
    </w:p>
    <w:p>
      <w:pPr>
        <w:spacing w:before="75" w:after="0"/>
      </w:pPr>
      <w:r>
        <w:rPr/>
        <w:t xml:space="preserve">二、智能化短信发送平台渗透率</w:t>
      </w:r>
    </w:p>
    <w:p>
      <w:pPr>
        <w:spacing w:before="75" w:after="0"/>
      </w:pPr>
      <w:r>
        <w:rPr/>
        <w:t xml:space="preserve">三、监管限制对市场规模影响</w:t>
      </w:r>
    </w:p>
    <w:p>
      <w:pPr>
        <w:spacing w:before="75" w:after="0"/>
      </w:pPr>
      <w:r>
        <w:rPr/>
        <w:t xml:space="preserve">第三节 信函催收市场</w:t>
      </w:r>
    </w:p>
    <w:p>
      <w:pPr>
        <w:spacing w:before="75" w:after="0"/>
      </w:pPr>
      <w:r>
        <w:rPr/>
        <w:t xml:space="preserve">一、法律函件发送量变化</w:t>
      </w:r>
    </w:p>
    <w:p>
      <w:pPr>
        <w:spacing w:before="75" w:after="0"/>
      </w:pPr>
      <w:r>
        <w:rPr/>
        <w:t xml:space="preserve">二、电子函件替代趋势</w:t>
      </w:r>
    </w:p>
    <w:p>
      <w:pPr>
        <w:spacing w:before="75" w:after="0"/>
      </w:pPr>
      <w:r>
        <w:rPr/>
        <w:t xml:space="preserve">三、成本结构与市场价格</w:t>
      </w:r>
    </w:p>
    <w:p>
      <w:pPr>
        <w:spacing w:before="75" w:after="0"/>
      </w:pPr>
      <w:r>
        <w:rPr/>
        <w:t xml:space="preserve">第四节 上门催收市场</w:t>
      </w:r>
    </w:p>
    <w:p>
      <w:pPr>
        <w:spacing w:before="75" w:after="0"/>
      </w:pPr>
      <w:r>
        <w:rPr/>
        <w:t xml:space="preserve">一、高风险区域分布特征</w:t>
      </w:r>
    </w:p>
    <w:p>
      <w:pPr>
        <w:spacing w:before="75" w:after="0"/>
      </w:pPr>
      <w:r>
        <w:rPr/>
        <w:t xml:space="preserve">二、人员配置与安全管理成本</w:t>
      </w:r>
    </w:p>
    <w:p>
      <w:pPr>
        <w:spacing w:before="75" w:after="0"/>
      </w:pPr>
      <w:r>
        <w:rPr/>
        <w:t xml:space="preserve">三、线上线下融合催收模式</w:t>
      </w:r>
    </w:p>
    <w:p>
      <w:pPr>
        <w:spacing w:before="75" w:after="0"/>
      </w:pPr>
      <w:r>
        <w:rPr/>
        <w:t xml:space="preserve">第五节 司法催收市场</w:t>
      </w:r>
    </w:p>
    <w:p>
      <w:pPr>
        <w:spacing w:before="75" w:after="0"/>
      </w:pPr>
      <w:r>
        <w:rPr/>
        <w:t xml:space="preserve">一、诉讼催收案件量增长</w:t>
      </w:r>
    </w:p>
    <w:p>
      <w:pPr>
        <w:spacing w:before="75" w:after="0"/>
      </w:pPr>
      <w:r>
        <w:rPr/>
        <w:t xml:space="preserve">二、资产处置周期变化</w:t>
      </w:r>
    </w:p>
    <w:p>
      <w:pPr>
        <w:spacing w:before="75" w:after="0"/>
      </w:pPr>
      <w:r>
        <w:rPr/>
        <w:t xml:space="preserve">三、法催服务价格体系</w:t>
      </w:r>
    </w:p>
    <w:p>
      <w:pPr>
        <w:spacing w:before="75" w:after="0"/>
      </w:pPr>
      <w:r>
        <w:rPr>
          <w:b w:val="1"/>
          <w:bCs w:val="1"/>
        </w:rPr>
        <w:t xml:space="preserve">第七章 按应用领域细分市场</w:t>
      </w:r>
    </w:p>
    <w:p>
      <w:pPr>
        <w:spacing w:before="75" w:after="0"/>
      </w:pPr>
      <w:r>
        <w:rPr/>
        <w:t xml:space="preserve">第一节 消费信贷催收市场</w:t>
      </w:r>
    </w:p>
    <w:p>
      <w:pPr>
        <w:spacing w:before="75" w:after="0"/>
      </w:pPr>
      <w:r>
        <w:rPr/>
        <w:t xml:space="preserve">一、信用卡逾期催收规模</w:t>
      </w:r>
    </w:p>
    <w:p>
      <w:pPr>
        <w:spacing w:before="75" w:after="0"/>
      </w:pPr>
      <w:r>
        <w:rPr/>
        <w:t xml:space="preserve">二、互联网消费贷催收需求</w:t>
      </w:r>
    </w:p>
    <w:p>
      <w:pPr>
        <w:spacing w:before="75" w:after="0"/>
      </w:pPr>
      <w:r>
        <w:rPr/>
        <w:t xml:space="preserve">三、车贷与房贷逾期催收市场</w:t>
      </w:r>
    </w:p>
    <w:p>
      <w:pPr>
        <w:spacing w:before="75" w:after="0"/>
      </w:pPr>
      <w:r>
        <w:rPr/>
        <w:t xml:space="preserve">第二节 小微企业贷款催收</w:t>
      </w:r>
    </w:p>
    <w:p>
      <w:pPr>
        <w:spacing w:before="75" w:after="0"/>
      </w:pPr>
      <w:r>
        <w:rPr/>
        <w:t xml:space="preserve">一、普惠金融风险暴露趋势</w:t>
      </w:r>
    </w:p>
    <w:p>
      <w:pPr>
        <w:spacing w:before="75" w:after="0"/>
      </w:pPr>
      <w:r>
        <w:rPr/>
        <w:t xml:space="preserve">二、供应链金融催收需求</w:t>
      </w:r>
    </w:p>
    <w:p>
      <w:pPr>
        <w:spacing w:before="75" w:after="0"/>
      </w:pPr>
      <w:r>
        <w:rPr/>
        <w:t xml:space="preserve">三、科技型中小企业账期特征</w:t>
      </w:r>
    </w:p>
    <w:p>
      <w:pPr>
        <w:spacing w:before="75" w:after="0"/>
      </w:pPr>
      <w:r>
        <w:rPr/>
        <w:t xml:space="preserve">第三节 公用事业与医疗催收</w:t>
      </w:r>
    </w:p>
    <w:p>
      <w:pPr>
        <w:spacing w:before="75" w:after="0"/>
      </w:pPr>
      <w:r>
        <w:rPr/>
        <w:t xml:space="preserve">一、水电燃气欠费催收规模</w:t>
      </w:r>
    </w:p>
    <w:p>
      <w:pPr>
        <w:spacing w:before="75" w:after="0"/>
      </w:pPr>
      <w:r>
        <w:rPr/>
        <w:t xml:space="preserve">二、医疗应收账款管理需求</w:t>
      </w:r>
    </w:p>
    <w:p>
      <w:pPr>
        <w:spacing w:before="75" w:after="0"/>
      </w:pPr>
      <w:r>
        <w:rPr/>
        <w:t xml:space="preserve">三、政府与公共机构外包意愿</w:t>
      </w:r>
    </w:p>
    <w:p>
      <w:pPr>
        <w:spacing w:before="75" w:after="0"/>
      </w:pPr>
      <w:r>
        <w:rPr/>
        <w:t xml:space="preserve">第四节 其他领域催收</w:t>
      </w:r>
    </w:p>
    <w:p>
      <w:pPr>
        <w:spacing w:before="75" w:after="0"/>
      </w:pPr>
      <w:r>
        <w:rPr/>
        <w:t xml:space="preserve">一、教育分期催收市场</w:t>
      </w:r>
    </w:p>
    <w:p>
      <w:pPr>
        <w:spacing w:before="75" w:after="0"/>
      </w:pPr>
      <w:r>
        <w:rPr/>
        <w:t xml:space="preserve">二、租赁业务催收需求</w:t>
      </w:r>
    </w:p>
    <w:p>
      <w:pPr>
        <w:spacing w:before="75" w:after="0"/>
      </w:pPr>
      <w:r>
        <w:rPr/>
        <w:t xml:space="preserve">三、b2b交易账款催收</w:t>
      </w:r>
    </w:p>
    <w:p>
      <w:pPr>
        <w:spacing w:before="75" w:after="0"/>
      </w:pPr>
      <w:r>
        <w:rPr>
          <w:b w:val="1"/>
          <w:bCs w:val="1"/>
        </w:rPr>
        <w:t xml:space="preserve">第八章 区域市场发展格局</w:t>
      </w:r>
    </w:p>
    <w:p>
      <w:pPr>
        <w:spacing w:before="75" w:after="0"/>
      </w:pPr>
      <w:r>
        <w:rPr/>
        <w:t xml:space="preserve">第一节 长三角地区</w:t>
      </w:r>
    </w:p>
    <w:p>
      <w:pPr>
        <w:spacing w:before="75" w:after="0"/>
      </w:pPr>
      <w:r>
        <w:rPr/>
        <w:t xml:space="preserve">一、市场规模与增速领先度</w:t>
      </w:r>
    </w:p>
    <w:p>
      <w:pPr>
        <w:spacing w:before="75" w:after="0"/>
      </w:pPr>
      <w:r>
        <w:rPr/>
        <w:t xml:space="preserve">二、机构集聚度与头部效应</w:t>
      </w:r>
    </w:p>
    <w:p>
      <w:pPr>
        <w:spacing w:before="75" w:after="0"/>
      </w:pPr>
      <w:r>
        <w:rPr/>
        <w:t xml:space="preserve">三、数字化应用水平评估</w:t>
      </w:r>
    </w:p>
    <w:p>
      <w:pPr>
        <w:spacing w:before="75" w:after="0"/>
      </w:pPr>
      <w:r>
        <w:rPr/>
        <w:t xml:space="preserve">第二节 粤港澳大湾区</w:t>
      </w:r>
    </w:p>
    <w:p>
      <w:pPr>
        <w:spacing w:before="75" w:after="0"/>
      </w:pPr>
      <w:r>
        <w:rPr/>
        <w:t xml:space="preserve">一、跨境催收业务需求</w:t>
      </w:r>
    </w:p>
    <w:p>
      <w:pPr>
        <w:spacing w:before="75" w:after="0"/>
      </w:pPr>
      <w:r>
        <w:rPr/>
        <w:t xml:space="preserve">二、金融科技融合创新</w:t>
      </w:r>
    </w:p>
    <w:p>
      <w:pPr>
        <w:spacing w:before="75" w:after="0"/>
      </w:pPr>
      <w:r>
        <w:rPr/>
        <w:t xml:space="preserve">三、监管政策先行先试效应</w:t>
      </w:r>
    </w:p>
    <w:p>
      <w:pPr>
        <w:spacing w:before="75" w:after="0"/>
      </w:pPr>
      <w:r>
        <w:rPr/>
        <w:t xml:space="preserve">第三节 京津冀地区</w:t>
      </w:r>
    </w:p>
    <w:p>
      <w:pPr>
        <w:spacing w:before="75" w:after="0"/>
      </w:pPr>
      <w:r>
        <w:rPr/>
        <w:t xml:space="preserve">一、金融机构总部集中优势</w:t>
      </w:r>
    </w:p>
    <w:p>
      <w:pPr>
        <w:spacing w:before="75" w:after="0"/>
      </w:pPr>
      <w:r>
        <w:rPr/>
        <w:t xml:space="preserve">二、不良资产供给规模</w:t>
      </w:r>
    </w:p>
    <w:p>
      <w:pPr>
        <w:spacing w:before="75" w:after="0"/>
      </w:pPr>
      <w:r>
        <w:rPr/>
        <w:t xml:space="preserve">三、合规成本区域差异</w:t>
      </w:r>
    </w:p>
    <w:p>
      <w:pPr>
        <w:spacing w:before="75" w:after="0"/>
      </w:pPr>
      <w:r>
        <w:rPr/>
        <w:t xml:space="preserve">第四节 成渝经济圈</w:t>
      </w:r>
    </w:p>
    <w:p>
      <w:pPr>
        <w:spacing w:before="75" w:after="0"/>
      </w:pPr>
      <w:r>
        <w:rPr/>
        <w:t xml:space="preserve">一、西部市场增长潜力</w:t>
      </w:r>
    </w:p>
    <w:p>
      <w:pPr>
        <w:spacing w:before="75" w:after="0"/>
      </w:pPr>
      <w:r>
        <w:rPr/>
        <w:t xml:space="preserve">二、本地化服务模式</w:t>
      </w:r>
    </w:p>
    <w:p>
      <w:pPr>
        <w:spacing w:before="75" w:after="0"/>
      </w:pPr>
      <w:r>
        <w:rPr/>
        <w:t xml:space="preserve">三、人力成本比较优势</w:t>
      </w:r>
    </w:p>
    <w:p>
      <w:pPr>
        <w:spacing w:before="75" w:after="0"/>
      </w:pPr>
      <w:r>
        <w:rPr/>
        <w:t xml:space="preserve">第五节 其他地区</w:t>
      </w:r>
    </w:p>
    <w:p>
      <w:pPr>
        <w:spacing w:before="75" w:after="0"/>
      </w:pPr>
      <w:r>
        <w:rPr/>
        <w:t xml:space="preserve">一、中部地区市场容量</w:t>
      </w:r>
    </w:p>
    <w:p>
      <w:pPr>
        <w:spacing w:before="75" w:after="0"/>
      </w:pPr>
      <w:r>
        <w:rPr/>
        <w:t xml:space="preserve">二、东北区域特殊风险特征</w:t>
      </w:r>
    </w:p>
    <w:p>
      <w:pPr>
        <w:spacing w:before="75" w:after="0"/>
      </w:pPr>
      <w:r>
        <w:rPr/>
        <w:t xml:space="preserve">三、三四线城市下沉空间</w:t>
      </w:r>
    </w:p>
    <w:p>
      <w:pPr>
        <w:spacing w:before="75" w:after="0"/>
      </w:pPr>
      <w:r>
        <w:rPr>
          <w:b w:val="1"/>
          <w:bCs w:val="1"/>
        </w:rPr>
        <w:t xml:space="preserve">第九章 技术发展与应用前沿</w:t>
      </w:r>
    </w:p>
    <w:p>
      <w:pPr>
        <w:spacing w:before="75" w:after="0"/>
      </w:pPr>
      <w:r>
        <w:rPr/>
        <w:t xml:space="preserve">第一节 人工智能催收技术</w:t>
      </w:r>
    </w:p>
    <w:p>
      <w:pPr>
        <w:spacing w:before="75" w:after="0"/>
      </w:pPr>
      <w:r>
        <w:rPr/>
        <w:t xml:space="preserve">一、nlp在催收对话中的应用深度</w:t>
      </w:r>
    </w:p>
    <w:p>
      <w:pPr>
        <w:spacing w:before="75" w:after="0"/>
      </w:pPr>
      <w:r>
        <w:rPr/>
        <w:t xml:space="preserve">二、声纹识别与情绪分析准确率</w:t>
      </w:r>
    </w:p>
    <w:p>
      <w:pPr>
        <w:spacing w:before="75" w:after="0"/>
      </w:pPr>
      <w:r>
        <w:rPr/>
        <w:t xml:space="preserve">三、ai催收机器人迭代周期</w:t>
      </w:r>
    </w:p>
    <w:p>
      <w:pPr>
        <w:spacing w:before="75" w:after="0"/>
      </w:pPr>
      <w:r>
        <w:rPr/>
        <w:t xml:space="preserve">第二节 大数据风控与定价</w:t>
      </w:r>
    </w:p>
    <w:p>
      <w:pPr>
        <w:spacing w:before="75" w:after="0"/>
      </w:pPr>
      <w:r>
        <w:rPr/>
        <w:t xml:space="preserve">一、债务人画像精准度提升</w:t>
      </w:r>
    </w:p>
    <w:p>
      <w:pPr>
        <w:spacing w:before="75" w:after="0"/>
      </w:pPr>
      <w:r>
        <w:rPr/>
        <w:t xml:space="preserve">二、动态定价模型优化</w:t>
      </w:r>
    </w:p>
    <w:p>
      <w:pPr>
        <w:spacing w:before="75" w:after="0"/>
      </w:pPr>
      <w:r>
        <w:rPr/>
        <w:t xml:space="preserve">三、失联信息修复成功率</w:t>
      </w:r>
    </w:p>
    <w:p>
      <w:pPr>
        <w:spacing w:before="75" w:after="0"/>
      </w:pPr>
      <w:r>
        <w:rPr/>
        <w:t xml:space="preserve">第三节 自动化与rpa技术</w:t>
      </w:r>
    </w:p>
    <w:p>
      <w:pPr>
        <w:spacing w:before="75" w:after="0"/>
      </w:pPr>
      <w:r>
        <w:rPr/>
        <w:t xml:space="preserve">一、催收流程自动化覆盖率</w:t>
      </w:r>
    </w:p>
    <w:p>
      <w:pPr>
        <w:spacing w:before="75" w:after="0"/>
      </w:pPr>
      <w:r>
        <w:rPr/>
        <w:t xml:space="preserve">二、案件分配智能调度系统</w:t>
      </w:r>
    </w:p>
    <w:p>
      <w:pPr>
        <w:spacing w:before="75" w:after="0"/>
      </w:pPr>
      <w:r>
        <w:rPr/>
        <w:t xml:space="preserve">三、文书自动生成技术应用</w:t>
      </w:r>
    </w:p>
    <w:p>
      <w:pPr>
        <w:spacing w:before="75" w:after="0"/>
      </w:pPr>
      <w:r>
        <w:rPr/>
        <w:t xml:space="preserve">第四节 区块链存证技术</w:t>
      </w:r>
    </w:p>
    <w:p>
      <w:pPr>
        <w:spacing w:before="75" w:after="0"/>
      </w:pPr>
      <w:r>
        <w:rPr/>
        <w:t xml:space="preserve">一、电子证据链上存证规模</w:t>
      </w:r>
    </w:p>
    <w:p>
      <w:pPr>
        <w:spacing w:before="75" w:after="0"/>
      </w:pPr>
      <w:r>
        <w:rPr/>
        <w:t xml:space="preserve">二、司法采信率变化</w:t>
      </w:r>
    </w:p>
    <w:p>
      <w:pPr>
        <w:spacing w:before="75" w:after="0"/>
      </w:pPr>
      <w:r>
        <w:rPr/>
        <w:t xml:space="preserve">三、跨机构数据共享机制</w:t>
      </w:r>
    </w:p>
    <w:p>
      <w:pPr>
        <w:spacing w:before="75" w:after="0"/>
      </w:pPr>
      <w:r>
        <w:rPr>
          <w:b w:val="1"/>
          <w:bCs w:val="1"/>
        </w:rPr>
        <w:t xml:space="preserve">第十章 行业竞争格局与集中度</w:t>
      </w:r>
    </w:p>
    <w:p>
      <w:pPr>
        <w:spacing w:before="75" w:after="0"/>
      </w:pPr>
      <w:r>
        <w:rPr/>
        <w:t xml:space="preserve">第一节 市场参与者结构</w:t>
      </w:r>
    </w:p>
    <w:p>
      <w:pPr>
        <w:spacing w:before="75" w:after="0"/>
      </w:pPr>
      <w:r>
        <w:rPr/>
        <w:t xml:space="preserve">一、全国性机构与区域性机构数量比</w:t>
      </w:r>
    </w:p>
    <w:p>
      <w:pPr>
        <w:spacing w:before="75" w:after="0"/>
      </w:pPr>
      <w:r>
        <w:rPr/>
        <w:t xml:space="preserve">二、持牌机构与非持牌机构市场份额</w:t>
      </w:r>
    </w:p>
    <w:p>
      <w:pPr>
        <w:spacing w:before="75" w:after="0"/>
      </w:pPr>
      <w:r>
        <w:rPr/>
        <w:t xml:space="preserve">三、外资机构进入情况</w:t>
      </w:r>
    </w:p>
    <w:p>
      <w:pPr>
        <w:spacing w:before="75" w:after="0"/>
      </w:pPr>
      <w:r>
        <w:rPr/>
        <w:t xml:space="preserve">第二节 竞争强度评估</w:t>
      </w:r>
    </w:p>
    <w:p>
      <w:pPr>
        <w:spacing w:before="75" w:after="0"/>
      </w:pPr>
      <w:r>
        <w:rPr/>
        <w:t xml:space="preserve">一、客户获取成本变化趋势</w:t>
      </w:r>
    </w:p>
    <w:p>
      <w:pPr>
        <w:spacing w:before="75" w:after="0"/>
      </w:pPr>
      <w:r>
        <w:rPr/>
        <w:t xml:space="preserve">二、服务价格竞争指数</w:t>
      </w:r>
    </w:p>
    <w:p>
      <w:pPr>
        <w:spacing w:before="75" w:after="0"/>
      </w:pPr>
      <w:r>
        <w:rPr/>
        <w:t xml:space="preserve">三、人才争夺战激烈程度</w:t>
      </w:r>
    </w:p>
    <w:p>
      <w:pPr>
        <w:spacing w:before="75" w:after="0"/>
      </w:pPr>
      <w:r>
        <w:rPr/>
        <w:t xml:space="preserve">第三节 并购重组动态</w:t>
      </w:r>
    </w:p>
    <w:p>
      <w:pPr>
        <w:spacing w:before="75" w:after="0"/>
      </w:pPr>
      <w:r>
        <w:rPr/>
        <w:t xml:space="preserve">一、2023-2025年并购案例数量</w:t>
      </w:r>
    </w:p>
    <w:p>
      <w:pPr>
        <w:spacing w:before="75" w:after="0"/>
      </w:pPr>
      <w:r>
        <w:rPr/>
        <w:t xml:space="preserve">二、行业整合速度评估</w:t>
      </w:r>
    </w:p>
    <w:p>
      <w:pPr>
        <w:spacing w:before="75" w:after="0"/>
      </w:pPr>
      <w:r>
        <w:rPr/>
        <w:t xml:space="preserve">三、资本化运作趋势</w:t>
      </w:r>
    </w:p>
    <w:p>
      <w:pPr>
        <w:spacing w:before="75" w:after="0"/>
      </w:pPr>
      <w:r>
        <w:rPr>
          <w:b w:val="1"/>
          <w:bCs w:val="1"/>
        </w:rPr>
        <w:t xml:space="preserve">第十一章 商业模式与盈利分析</w:t>
      </w:r>
    </w:p>
    <w:p>
      <w:pPr>
        <w:spacing w:before="75" w:after="0"/>
      </w:pPr>
      <w:r>
        <w:rPr/>
        <w:t xml:space="preserve">第一节 传统佣金模式</w:t>
      </w:r>
    </w:p>
    <w:p>
      <w:pPr>
        <w:spacing w:before="75" w:after="0"/>
      </w:pPr>
      <w:r>
        <w:rPr/>
        <w:t xml:space="preserve">一、按回收金额提成比例变化</w:t>
      </w:r>
    </w:p>
    <w:p>
      <w:pPr>
        <w:spacing w:before="75" w:after="0"/>
      </w:pPr>
      <w:r>
        <w:rPr/>
        <w:t xml:space="preserve">二、基础服务费+绩效奖励结构</w:t>
      </w:r>
    </w:p>
    <w:p>
      <w:pPr>
        <w:spacing w:before="75" w:after="0"/>
      </w:pPr>
      <w:r>
        <w:rPr/>
        <w:t xml:space="preserve">三、不同资产类型定价差异</w:t>
      </w:r>
    </w:p>
    <w:p>
      <w:pPr>
        <w:spacing w:before="75" w:after="0"/>
      </w:pPr>
      <w:r>
        <w:rPr/>
        <w:t xml:space="preserve">第二节 技术赋能模式</w:t>
      </w:r>
    </w:p>
    <w:p>
      <w:pPr>
        <w:spacing w:before="75" w:after="0"/>
      </w:pPr>
      <w:r>
        <w:rPr/>
        <w:t xml:space="preserve">一、saas平台订阅收入规模</w:t>
      </w:r>
    </w:p>
    <w:p>
      <w:pPr>
        <w:spacing w:before="75" w:after="0"/>
      </w:pPr>
      <w:r>
        <w:rPr/>
        <w:t xml:space="preserve">二、按效果付费的 tech-enabled 服务</w:t>
      </w:r>
    </w:p>
    <w:p>
      <w:pPr>
        <w:spacing w:before="75" w:after="0"/>
      </w:pPr>
      <w:r>
        <w:rPr/>
        <w:t xml:space="preserve">三、数据服务增值收入</w:t>
      </w:r>
    </w:p>
    <w:p>
      <w:pPr>
        <w:spacing w:before="75" w:after="0"/>
      </w:pPr>
      <w:r>
        <w:rPr/>
        <w:t xml:space="preserve">第三节 资产买断模式</w:t>
      </w:r>
    </w:p>
    <w:p>
      <w:pPr>
        <w:spacing w:before="75" w:after="0"/>
      </w:pPr>
      <w:r>
        <w:rPr/>
        <w:t xml:space="preserve">一、不良资产包收购价格走势</w:t>
      </w:r>
    </w:p>
    <w:p>
      <w:pPr>
        <w:spacing w:before="75" w:after="0"/>
      </w:pPr>
      <w:r>
        <w:rPr/>
        <w:t xml:space="preserve">二、处置后收益分成机制</w:t>
      </w:r>
    </w:p>
    <w:p>
      <w:pPr>
        <w:spacing w:before="75" w:after="0"/>
      </w:pPr>
      <w:r>
        <w:rPr/>
        <w:t xml:space="preserve">三、风险资本介入程度</w:t>
      </w:r>
    </w:p>
    <w:p>
      <w:pPr>
        <w:spacing w:before="75" w:after="0"/>
      </w:pPr>
      <w:r>
        <w:rPr/>
        <w:t xml:space="preserve">第四节 混合模式创新</w:t>
      </w:r>
    </w:p>
    <w:p>
      <w:pPr>
        <w:spacing w:before="75" w:after="0"/>
      </w:pPr>
      <w:r>
        <w:rPr/>
        <w:t xml:space="preserve">一、催收+调解综合服务</w:t>
      </w:r>
    </w:p>
    <w:p>
      <w:pPr>
        <w:spacing w:before="75" w:after="0"/>
      </w:pPr>
      <w:r>
        <w:rPr/>
        <w:t xml:space="preserve">二、催收+征信修复联动</w:t>
      </w:r>
    </w:p>
    <w:p>
      <w:pPr>
        <w:spacing w:before="75" w:after="0"/>
      </w:pPr>
      <w:r>
        <w:rPr/>
        <w:t xml:space="preserve">三、催收+资产管理一体化</w:t>
      </w:r>
    </w:p>
    <w:p>
      <w:pPr>
        <w:spacing w:before="75" w:after="0"/>
      </w:pPr>
      <w:r>
        <w:rPr>
          <w:b w:val="1"/>
          <w:bCs w:val="1"/>
        </w:rPr>
        <w:t xml:space="preserve">第十二章 运营成本与效率指标</w:t>
      </w:r>
    </w:p>
    <w:p>
      <w:pPr>
        <w:spacing w:before="75" w:after="0"/>
      </w:pPr>
      <w:r>
        <w:rPr/>
        <w:t xml:space="preserve">第一节 人力成本结构</w:t>
      </w:r>
    </w:p>
    <w:p>
      <w:pPr>
        <w:spacing w:before="75" w:after="0"/>
      </w:pPr>
      <w:r>
        <w:rPr/>
        <w:t xml:space="preserve">一、坐席人员平均工资涨幅</w:t>
      </w:r>
    </w:p>
    <w:p>
      <w:pPr>
        <w:spacing w:before="75" w:after="0"/>
      </w:pPr>
      <w:r>
        <w:rPr/>
        <w:t xml:space="preserve">二、管理人员配比优化空间</w:t>
      </w:r>
    </w:p>
    <w:p>
      <w:pPr>
        <w:spacing w:before="75" w:after="0"/>
      </w:pPr>
      <w:r>
        <w:rPr/>
        <w:t xml:space="preserve">三、培训与合规成本占比</w:t>
      </w:r>
    </w:p>
    <w:p>
      <w:pPr>
        <w:spacing w:before="75" w:after="0"/>
      </w:pPr>
      <w:r>
        <w:rPr/>
        <w:t xml:space="preserve">第二节 技术投入成本</w:t>
      </w:r>
    </w:p>
    <w:p>
      <w:pPr>
        <w:spacing w:before="75" w:after="0"/>
      </w:pPr>
      <w:r>
        <w:rPr/>
        <w:t xml:space="preserve">一、it系统建设投入强度</w:t>
      </w:r>
    </w:p>
    <w:p>
      <w:pPr>
        <w:spacing w:before="75" w:after="0"/>
      </w:pPr>
      <w:r>
        <w:rPr/>
        <w:t xml:space="preserve">二、数据采购成本变化</w:t>
      </w:r>
    </w:p>
    <w:p>
      <w:pPr>
        <w:spacing w:before="75" w:after="0"/>
      </w:pPr>
      <w:r>
        <w:rPr/>
        <w:t xml:space="preserve">三、研发投入占比趋势</w:t>
      </w:r>
    </w:p>
    <w:p>
      <w:pPr>
        <w:spacing w:before="75" w:after="0"/>
      </w:pPr>
      <w:r>
        <w:rPr/>
        <w:t xml:space="preserve">第三节 运营效率指标</w:t>
      </w:r>
    </w:p>
    <w:p>
      <w:pPr>
        <w:spacing w:before="75" w:after="0"/>
      </w:pPr>
      <w:r>
        <w:rPr/>
        <w:t xml:space="preserve">一、人均月回收金额预测</w:t>
      </w:r>
    </w:p>
    <w:p>
      <w:pPr>
        <w:spacing w:before="75" w:after="0"/>
      </w:pPr>
      <w:r>
        <w:rPr/>
        <w:t xml:space="preserve">二、案件结案周期缩短幅度</w:t>
      </w:r>
    </w:p>
    <w:p>
      <w:pPr>
        <w:spacing w:before="75" w:after="0"/>
      </w:pPr>
      <w:r>
        <w:rPr/>
        <w:t xml:space="preserve">三、首次触达成功率提升</w:t>
      </w:r>
    </w:p>
    <w:p>
      <w:pPr>
        <w:spacing w:before="75" w:after="0"/>
      </w:pPr>
      <w:r>
        <w:rPr/>
        <w:t xml:space="preserve">第四节 合规成本测算</w:t>
      </w:r>
    </w:p>
    <w:p>
      <w:pPr>
        <w:spacing w:before="75" w:after="0"/>
      </w:pPr>
      <w:r>
        <w:rPr/>
        <w:t xml:space="preserve">一、监管应对成本占比</w:t>
      </w:r>
    </w:p>
    <w:p>
      <w:pPr>
        <w:spacing w:before="75" w:after="0"/>
      </w:pPr>
      <w:r>
        <w:rPr/>
        <w:t xml:space="preserve">二、投诉处理成本增长</w:t>
      </w:r>
    </w:p>
    <w:p>
      <w:pPr>
        <w:spacing w:before="75" w:after="0"/>
      </w:pPr>
      <w:r>
        <w:rPr/>
        <w:t xml:space="preserve">三、法律风险准备金计提</w:t>
      </w:r>
    </w:p>
    <w:p>
      <w:pPr>
        <w:spacing w:before="75" w:after="0"/>
      </w:pPr>
      <w:r>
        <w:rPr>
          <w:b w:val="1"/>
          <w:bCs w:val="1"/>
        </w:rPr>
        <w:t xml:space="preserve">第十三章 行业风险与挑战</w:t>
      </w:r>
    </w:p>
    <w:p>
      <w:pPr>
        <w:spacing w:before="75" w:after="0"/>
      </w:pPr>
      <w:r>
        <w:rPr/>
        <w:t xml:space="preserve">第一节 法律合规风险</w:t>
      </w:r>
    </w:p>
    <w:p>
      <w:pPr>
        <w:spacing w:before="75" w:after="0"/>
      </w:pPr>
      <w:r>
        <w:rPr/>
        <w:t xml:space="preserve">一、个人信息保护法实施影响</w:t>
      </w:r>
    </w:p>
    <w:p>
      <w:pPr>
        <w:spacing w:before="75" w:after="0"/>
      </w:pPr>
      <w:r>
        <w:rPr/>
        <w:t xml:space="preserve">二、催收行为边界界定模糊性</w:t>
      </w:r>
    </w:p>
    <w:p>
      <w:pPr>
        <w:spacing w:before="75" w:after="0"/>
      </w:pPr>
      <w:r>
        <w:rPr/>
        <w:t xml:space="preserve">三、跨区域执法标准差异</w:t>
      </w:r>
    </w:p>
    <w:p>
      <w:pPr>
        <w:spacing w:before="75" w:after="0"/>
      </w:pPr>
      <w:r>
        <w:rPr/>
        <w:t xml:space="preserve">第二节 声誉与道德风险</w:t>
      </w:r>
    </w:p>
    <w:p>
      <w:pPr>
        <w:spacing w:before="75" w:after="0"/>
      </w:pPr>
      <w:r>
        <w:rPr/>
        <w:t xml:space="preserve">一、暴力催收舆情爆发频率</w:t>
      </w:r>
    </w:p>
    <w:p>
      <w:pPr>
        <w:spacing w:before="75" w:after="0"/>
      </w:pPr>
      <w:r>
        <w:rPr/>
        <w:t xml:space="preserve">二、行业社会形象改善难度</w:t>
      </w:r>
    </w:p>
    <w:p>
      <w:pPr>
        <w:spacing w:before="75" w:after="0"/>
      </w:pPr>
      <w:r>
        <w:rPr/>
        <w:t xml:space="preserve">三、从业人员职业认同感</w:t>
      </w:r>
    </w:p>
    <w:p>
      <w:pPr>
        <w:spacing w:before="75" w:after="0"/>
      </w:pPr>
      <w:r>
        <w:rPr/>
        <w:t xml:space="preserve">第三节 技术风险</w:t>
      </w:r>
    </w:p>
    <w:p>
      <w:pPr>
        <w:spacing w:before="75" w:after="0"/>
      </w:pPr>
      <w:r>
        <w:rPr/>
        <w:t xml:space="preserve">一、数据泄露与信息安全事件</w:t>
      </w:r>
    </w:p>
    <w:p>
      <w:pPr>
        <w:spacing w:before="75" w:after="0"/>
      </w:pPr>
      <w:r>
        <w:rPr/>
        <w:t xml:space="preserve">二、算法偏见与歧视风险</w:t>
      </w:r>
    </w:p>
    <w:p>
      <w:pPr>
        <w:spacing w:before="75" w:after="0"/>
      </w:pPr>
      <w:r>
        <w:rPr/>
        <w:t xml:space="preserve">三、技术替代导致的失业问题</w:t>
      </w:r>
    </w:p>
    <w:p>
      <w:pPr>
        <w:spacing w:before="75" w:after="0"/>
      </w:pPr>
      <w:r>
        <w:rPr/>
        <w:t xml:space="preserve">第四节 市场风险</w:t>
      </w:r>
    </w:p>
    <w:p>
      <w:pPr>
        <w:spacing w:before="75" w:after="0"/>
      </w:pPr>
      <w:r>
        <w:rPr/>
        <w:t xml:space="preserve">一、经济周期波动影响</w:t>
      </w:r>
    </w:p>
    <w:p>
      <w:pPr>
        <w:spacing w:before="75" w:after="0"/>
      </w:pPr>
      <w:r>
        <w:rPr/>
        <w:t xml:space="preserve">二、客户集中度过高风险</w:t>
      </w:r>
    </w:p>
    <w:p>
      <w:pPr>
        <w:spacing w:before="75" w:after="0"/>
      </w:pPr>
      <w:r>
        <w:rPr/>
        <w:t xml:space="preserve">三、替代性债务解决方案冲击</w:t>
      </w:r>
    </w:p>
    <w:p>
      <w:pPr>
        <w:spacing w:before="75" w:after="0"/>
      </w:pPr>
      <w:r>
        <w:rPr>
          <w:b w:val="1"/>
          <w:bCs w:val="1"/>
        </w:rPr>
        <w:t xml:space="preserve">第十四章 2026-2031年发展趋势预测</w:t>
      </w:r>
    </w:p>
    <w:p>
      <w:pPr>
        <w:spacing w:before="75" w:after="0"/>
      </w:pPr>
      <w:r>
        <w:rPr/>
        <w:t xml:space="preserve">第一节 市场规模增长趋势</w:t>
      </w:r>
    </w:p>
    <w:p>
      <w:pPr>
        <w:spacing w:before="75" w:after="0"/>
      </w:pPr>
      <w:r>
        <w:rPr/>
        <w:t xml:space="preserve">一、2026-2031年复合增长率预测</w:t>
      </w:r>
    </w:p>
    <w:p>
      <w:pPr>
        <w:spacing w:before="75" w:after="0"/>
      </w:pPr>
      <w:r>
        <w:rPr/>
        <w:t xml:space="preserve">二、各细分领域增速差异</w:t>
      </w:r>
    </w:p>
    <w:p>
      <w:pPr>
        <w:spacing w:before="75" w:after="0"/>
      </w:pPr>
      <w:r>
        <w:rPr/>
        <w:t xml:space="preserve">三、季节性波动规律</w:t>
      </w:r>
    </w:p>
    <w:p>
      <w:pPr>
        <w:spacing w:before="75" w:after="0"/>
      </w:pPr>
      <w:r>
        <w:rPr/>
        <w:t xml:space="preserve">第二节 技术演进方向</w:t>
      </w:r>
    </w:p>
    <w:p>
      <w:pPr>
        <w:spacing w:before="75" w:after="0"/>
      </w:pPr>
      <w:r>
        <w:rPr/>
        <w:t xml:space="preserve">一、生成式ai在催收话术生成中的应用</w:t>
      </w:r>
    </w:p>
    <w:p>
      <w:pPr>
        <w:spacing w:before="75" w:after="0"/>
      </w:pPr>
      <w:r>
        <w:rPr/>
        <w:t xml:space="preserve">二、虚拟现实场景催收测试</w:t>
      </w:r>
    </w:p>
    <w:p>
      <w:pPr>
        <w:spacing w:before="75" w:after="0"/>
      </w:pPr>
      <w:r>
        <w:rPr/>
        <w:t xml:space="preserve">三、联邦学习在数据协作中的推广</w:t>
      </w:r>
    </w:p>
    <w:p>
      <w:pPr>
        <w:spacing w:before="75" w:after="0"/>
      </w:pPr>
      <w:r>
        <w:rPr/>
        <w:t xml:space="preserve">第三节 业务模式变革</w:t>
      </w:r>
    </w:p>
    <w:p>
      <w:pPr>
        <w:spacing w:before="75" w:after="0"/>
      </w:pPr>
      <w:r>
        <w:rPr/>
        <w:t xml:space="preserve">一、从催收向不良资产经营转型</w:t>
      </w:r>
    </w:p>
    <w:p>
      <w:pPr>
        <w:spacing w:before="75" w:after="0"/>
      </w:pPr>
      <w:r>
        <w:rPr/>
        <w:t xml:space="preserve">二、与资产管理公司合作深化</w:t>
      </w:r>
    </w:p>
    <w:p>
      <w:pPr>
        <w:spacing w:before="75" w:after="0"/>
      </w:pPr>
      <w:r>
        <w:rPr/>
        <w:t xml:space="preserve">三、跨境催收业务增长预期</w:t>
      </w:r>
    </w:p>
    <w:p>
      <w:pPr>
        <w:spacing w:before="75" w:after="0"/>
      </w:pPr>
      <w:r>
        <w:rPr/>
        <w:t xml:space="preserve">第四节 监管政策走向</w:t>
      </w:r>
    </w:p>
    <w:p>
      <w:pPr>
        <w:spacing w:before="75" w:after="0"/>
      </w:pPr>
      <w:r>
        <w:rPr/>
        <w:t xml:space="preserve">一、行业准入门槛变化趋势</w:t>
      </w:r>
    </w:p>
    <w:p>
      <w:pPr>
        <w:spacing w:before="75" w:after="0"/>
      </w:pPr>
      <w:r>
        <w:rPr/>
        <w:t xml:space="preserve">二、行为监管强度评估</w:t>
      </w:r>
    </w:p>
    <w:p>
      <w:pPr>
        <w:spacing w:before="75" w:after="0"/>
      </w:pPr>
      <w:r>
        <w:rPr/>
        <w:t xml:space="preserve">三、行业自律组织作用强化</w:t>
      </w:r>
    </w:p>
    <w:p>
      <w:pPr>
        <w:spacing w:before="75" w:after="0"/>
      </w:pPr>
      <w:r>
        <w:rPr>
          <w:b w:val="1"/>
          <w:bCs w:val="1"/>
        </w:rPr>
        <w:t xml:space="preserve">第十五章 投资价值与进入策略</w:t>
      </w:r>
    </w:p>
    <w:p>
      <w:pPr>
        <w:spacing w:before="75" w:after="0"/>
      </w:pPr>
      <w:r>
        <w:rPr/>
        <w:t xml:space="preserve">第一节 投资吸引力评估</w:t>
      </w:r>
    </w:p>
    <w:p>
      <w:pPr>
        <w:spacing w:before="75" w:after="0"/>
      </w:pPr>
      <w:r>
        <w:rPr/>
        <w:t xml:space="preserve">一、市场规模与增长确定性</w:t>
      </w:r>
    </w:p>
    <w:p>
      <w:pPr>
        <w:spacing w:before="75" w:after="0"/>
      </w:pPr>
      <w:r>
        <w:rPr/>
        <w:t xml:space="preserve">二、盈利水平与现金流稳定性</w:t>
      </w:r>
    </w:p>
    <w:p>
      <w:pPr>
        <w:spacing w:before="75" w:after="0"/>
      </w:pPr>
      <w:r>
        <w:rPr/>
        <w:t xml:space="preserve">三、政策风险与合规成本权衡</w:t>
      </w:r>
    </w:p>
    <w:p>
      <w:pPr>
        <w:spacing w:before="75" w:after="0"/>
      </w:pPr>
      <w:r>
        <w:rPr/>
        <w:t xml:space="preserve">第二节 进入壁垒分析</w:t>
      </w:r>
    </w:p>
    <w:p>
      <w:pPr>
        <w:spacing w:before="75" w:after="0"/>
      </w:pPr>
      <w:r>
        <w:rPr/>
        <w:t xml:space="preserve">一、牌照获取难度与时间成本</w:t>
      </w:r>
    </w:p>
    <w:p>
      <w:pPr>
        <w:spacing w:before="75" w:after="0"/>
      </w:pPr>
      <w:r>
        <w:rPr/>
        <w:t xml:space="preserve">二、客户资源积累周期</w:t>
      </w:r>
    </w:p>
    <w:p>
      <w:pPr>
        <w:spacing w:before="75" w:after="0"/>
      </w:pPr>
      <w:r>
        <w:rPr/>
        <w:t xml:space="preserve">三、技术平台建设投入</w:t>
      </w:r>
    </w:p>
    <w:p>
      <w:pPr>
        <w:spacing w:before="75" w:after="0"/>
      </w:pPr>
      <w:r>
        <w:rPr/>
        <w:t xml:space="preserve">第三节 投资策略建议</w:t>
      </w:r>
    </w:p>
    <w:p>
      <w:pPr>
        <w:spacing w:before="75" w:after="0"/>
      </w:pPr>
      <w:r>
        <w:rPr/>
        <w:t xml:space="preserve">一、并购现有机构vs新设机构</w:t>
      </w:r>
    </w:p>
    <w:p>
      <w:pPr>
        <w:spacing w:before="75" w:after="0"/>
      </w:pPr>
      <w:r>
        <w:rPr/>
        <w:t xml:space="preserve">二、区域市场选择优先级</w:t>
      </w:r>
    </w:p>
    <w:p>
      <w:pPr>
        <w:spacing w:before="75" w:after="0"/>
      </w:pPr>
      <w:r>
        <w:rPr/>
        <w:t xml:space="preserve">三、细分领域聚焦策略</w:t>
      </w:r>
    </w:p>
    <w:p>
      <w:pPr>
        <w:spacing w:before="75" w:after="0"/>
      </w:pPr>
      <w:r>
        <w:rPr/>
        <w:t xml:space="preserve">第四节 退出机制设计</w:t>
      </w:r>
    </w:p>
    <w:p>
      <w:pPr>
        <w:spacing w:before="75" w:after="0"/>
      </w:pPr>
      <w:r>
        <w:rPr/>
        <w:t xml:space="preserve">一、二级市场上市路径</w:t>
      </w:r>
    </w:p>
    <w:p>
      <w:pPr>
        <w:spacing w:before="75" w:after="0"/>
      </w:pPr>
      <w:r>
        <w:rPr/>
        <w:t xml:space="preserve">二、并购退出可能性</w:t>
      </w:r>
    </w:p>
    <w:p>
      <w:pPr>
        <w:spacing w:before="75" w:after="0"/>
      </w:pPr>
      <w:r>
        <w:rPr/>
        <w:t xml:space="preserve">三、股权转让估值方法</w:t>
      </w:r>
    </w:p>
    <w:p>
      <w:pPr>
        <w:spacing w:before="75" w:after="0"/>
      </w:pPr>
      <w:r>
        <w:rPr>
          <w:b w:val="1"/>
          <w:bCs w:val="1"/>
        </w:rPr>
        <w:t xml:space="preserve">第十六章 发展策略与实施路径</w:t>
      </w:r>
    </w:p>
    <w:p>
      <w:pPr>
        <w:spacing w:before="75" w:after="0"/>
      </w:pPr>
      <w:r>
        <w:rPr/>
        <w:t xml:space="preserve">第一节 机构层面策略</w:t>
      </w:r>
    </w:p>
    <w:p>
      <w:pPr>
        <w:spacing w:before="75" w:after="0"/>
      </w:pPr>
      <w:r>
        <w:rPr/>
        <w:t xml:space="preserve">一、数字化转型实施路线图</w:t>
      </w:r>
    </w:p>
    <w:p>
      <w:pPr>
        <w:spacing w:before="75" w:after="0"/>
      </w:pPr>
      <w:r>
        <w:rPr/>
        <w:t xml:space="preserve">二、合规管理体系建设要点</w:t>
      </w:r>
    </w:p>
    <w:p>
      <w:pPr>
        <w:spacing w:before="75" w:after="0"/>
      </w:pPr>
      <w:r>
        <w:rPr/>
        <w:t xml:space="preserve">三、人才梯队培养机制</w:t>
      </w:r>
    </w:p>
    <w:p>
      <w:pPr>
        <w:spacing w:before="75" w:after="0"/>
      </w:pPr>
      <w:r>
        <w:rPr/>
        <w:t xml:space="preserve">第二节 行业层面策略</w:t>
      </w:r>
    </w:p>
    <w:p>
      <w:pPr>
        <w:spacing w:before="75" w:after="0"/>
      </w:pPr>
      <w:r>
        <w:rPr/>
        <w:t xml:space="preserve">一、标准化体系建设推进</w:t>
      </w:r>
    </w:p>
    <w:p>
      <w:pPr>
        <w:spacing w:before="75" w:after="0"/>
      </w:pPr>
      <w:r>
        <w:rPr/>
        <w:t xml:space="preserve">二、信息共享平台搭建</w:t>
      </w:r>
    </w:p>
    <w:p>
      <w:pPr>
        <w:spacing w:before="75" w:after="0"/>
      </w:pPr>
      <w:r>
        <w:rPr/>
        <w:t xml:space="preserve">三、职业培训与认证体系</w:t>
      </w:r>
    </w:p>
    <w:p>
      <w:pPr>
        <w:spacing w:before="75" w:after="0"/>
      </w:pPr>
      <w:r>
        <w:rPr/>
        <w:t xml:space="preserve">第三节 生态层面策略</w:t>
      </w:r>
    </w:p>
    <w:p>
      <w:pPr>
        <w:spacing w:before="75" w:after="0"/>
      </w:pPr>
      <w:r>
        <w:rPr/>
        <w:t xml:space="preserve">一、与金融机构合作模式创新</w:t>
      </w:r>
    </w:p>
    <w:p>
      <w:pPr>
        <w:spacing w:before="75" w:after="0"/>
      </w:pPr>
      <w:r>
        <w:rPr/>
        <w:t xml:space="preserve">二、与司法系统衔接机制</w:t>
      </w:r>
    </w:p>
    <w:p>
      <w:pPr>
        <w:spacing w:before="75" w:after="0"/>
      </w:pPr>
      <w:r>
        <w:rPr/>
        <w:t xml:space="preserve">三、与征信系统联动方案</w:t>
      </w:r>
    </w:p>
    <w:p>
      <w:pPr>
        <w:spacing w:before="75" w:after="0"/>
      </w:pPr>
      <w:r>
        <w:rPr/>
        <w:t xml:space="preserve">第四节 可持续发展路径</w:t>
      </w:r>
    </w:p>
    <w:p>
      <w:pPr>
        <w:spacing w:before="75" w:after="0"/>
      </w:pPr>
      <w:r>
        <w:rPr/>
        <w:t xml:space="preserve">一、esg理念在催收行业的应用</w:t>
      </w:r>
    </w:p>
    <w:p>
      <w:pPr>
        <w:spacing w:before="75" w:after="0"/>
      </w:pPr>
      <w:r>
        <w:rPr/>
        <w:t xml:space="preserve">二、债务人帮扶与再生机制</w:t>
      </w:r>
    </w:p>
    <w:p>
      <w:pPr>
        <w:spacing w:before="75" w:after="0"/>
      </w:pPr>
      <w:r>
        <w:rPr/>
        <w:t xml:space="preserve">三、行业社会责任报告披露</w:t>
      </w:r>
    </w:p>
    <w:p>
      <w:pPr>
        <w:spacing w:before="75" w:after="0"/>
      </w:pPr>
      <w:r>
        <w:rPr>
          <w:b w:val="1"/>
          <w:bCs w:val="1"/>
        </w:rPr>
        <w:t xml:space="preserve">图表目录</w:t>
      </w:r>
    </w:p>
    <w:p>
      <w:pPr>
        <w:spacing w:before="75" w:after="0"/>
      </w:pPr>
      <w:r>
        <w:rPr/>
        <w:t xml:space="preserve">图表：专业化催收行业研究框架与技术路线</w:t>
      </w:r>
    </w:p>
    <w:p>
      <w:pPr>
        <w:spacing w:before="75" w:after="0"/>
      </w:pPr>
      <w:r>
        <w:rPr/>
        <w:t xml:space="preserve">图表：2023-2025年全球债务催收服务市场规模及增速</w:t>
      </w:r>
    </w:p>
    <w:p>
      <w:pPr>
        <w:spacing w:before="75" w:after="0"/>
      </w:pPr>
      <w:r>
        <w:rPr/>
        <w:t xml:space="preserve">图表：2026-2031年中国居民杠杆率预测曲线</w:t>
      </w:r>
    </w:p>
    <w:p>
      <w:pPr>
        <w:spacing w:before="75" w:after="0"/>
      </w:pPr>
      <w:r>
        <w:rPr/>
        <w:t xml:space="preserve">图表：2023-2030年中国专业化催收市场规模及预测</w:t>
      </w:r>
    </w:p>
    <w:p>
      <w:pPr>
        <w:spacing w:before="75" w:after="0"/>
      </w:pPr>
      <w:r>
        <w:rPr/>
        <w:t xml:space="preserve">图表：中国催收行业产业链图谱</w:t>
      </w:r>
    </w:p>
    <w:p>
      <w:pPr>
        <w:spacing w:before="75" w:after="0"/>
      </w:pPr>
      <w:r>
        <w:rPr/>
        <w:t xml:space="preserve">图表：2023-2025年催收机构数量变化趋势</w:t>
      </w:r>
    </w:p>
    <w:p>
      <w:pPr>
        <w:spacing w:before="75" w:after="0"/>
      </w:pPr>
      <w:r>
        <w:rPr/>
        <w:t xml:space="preserve">图表：2026-2031年按催收方式划分的市场规模占比</w:t>
      </w:r>
    </w:p>
    <w:p>
      <w:pPr>
        <w:spacing w:before="75" w:after="0"/>
      </w:pPr>
      <w:r>
        <w:rPr/>
        <w:t xml:space="preserve">图表：2023-2030年电话催收机器人替代率变化趋势</w:t>
      </w:r>
    </w:p>
    <w:p>
      <w:pPr>
        <w:spacing w:before="75" w:after="0"/>
      </w:pPr>
      <w:r>
        <w:rPr/>
        <w:t xml:space="preserve">图表：按应用领域划分的催收市场需求结构</w:t>
      </w:r>
    </w:p>
    <w:p>
      <w:pPr>
        <w:spacing w:before="75" w:after="0"/>
      </w:pPr>
      <w:r>
        <w:rPr/>
        <w:t xml:space="preserve">图表：2026-2031年消费信贷催收市场规模预测</w:t>
      </w:r>
    </w:p>
    <w:p>
      <w:pPr>
        <w:spacing w:before="75" w:after="0"/>
      </w:pPr>
      <w:r>
        <w:rPr/>
        <w:t xml:space="preserve">图表：中国催收行业区域市场集中度</w:t>
      </w:r>
    </w:p>
    <w:p>
      <w:pPr>
        <w:spacing w:before="75" w:after="0"/>
      </w:pPr>
      <w:r>
        <w:rPr/>
        <w:t xml:space="preserve">图表：长三角地区催收业务规模与增速</w:t>
      </w:r>
    </w:p>
    <w:p>
      <w:pPr>
        <w:spacing w:before="75" w:after="0"/>
      </w:pPr>
      <w:r>
        <w:rPr/>
        <w:t xml:space="preserve">图表：人工智能在催收行业的应用成熟度曲线</w:t>
      </w:r>
    </w:p>
    <w:p>
      <w:pPr>
        <w:spacing w:before="75" w:after="0"/>
      </w:pPr>
      <w:r>
        <w:rPr/>
        <w:t xml:space="preserve">图表：2026-2031年催收流程自动化覆盖率预测</w:t>
      </w:r>
    </w:p>
    <w:p>
      <w:pPr>
        <w:spacing w:before="75" w:after="0"/>
      </w:pPr>
      <w:r>
        <w:rPr/>
        <w:t xml:space="preserve">图表：中国催收行业市场集中度cr5变化</w:t>
      </w:r>
    </w:p>
    <w:p>
      <w:pPr>
        <w:spacing w:before="75" w:after="0"/>
      </w:pPr>
      <w:r>
        <w:rPr/>
        <w:t xml:space="preserve">图表：2025年各类机构市场份额对比</w:t>
      </w:r>
    </w:p>
    <w:p>
      <w:pPr>
        <w:spacing w:before="75" w:after="0"/>
      </w:pPr>
      <w:r>
        <w:rPr/>
        <w:t xml:space="preserve">图表：催收行业主要商业模式收入占比</w:t>
      </w:r>
    </w:p>
    <w:p>
      <w:pPr>
        <w:spacing w:before="75" w:after="0"/>
      </w:pPr>
      <w:r>
        <w:rPr/>
        <w:t xml:space="preserve">图表：技术赋能模式收入规模增长预测</w:t>
      </w:r>
    </w:p>
    <w:p>
      <w:pPr>
        <w:spacing w:before="75" w:after="0"/>
      </w:pPr>
      <w:r>
        <w:rPr/>
        <w:t xml:space="preserve">图表：催收机构人力成本结构变化</w:t>
      </w:r>
    </w:p>
    <w:p>
      <w:pPr>
        <w:spacing w:before="75" w:after="0"/>
      </w:pPr>
      <w:r>
        <w:rPr/>
        <w:t xml:space="preserve">图表：人均月回收金额提升趋势</w:t>
      </w:r>
    </w:p>
    <w:p>
      <w:pPr>
        <w:spacing w:before="75" w:after="0"/>
      </w:pPr>
      <w:r>
        <w:rPr/>
        <w:t xml:space="preserve">图表：行业主要风险因素权重评估</w:t>
      </w:r>
    </w:p>
    <w:p>
      <w:pPr>
        <w:spacing w:before="75" w:after="0"/>
      </w:pPr>
      <w:r>
        <w:rPr/>
        <w:t xml:space="preserve">图表：2026-2031年中国催收市场规模增长预测</w:t>
      </w:r>
    </w:p>
    <w:p>
      <w:pPr>
        <w:spacing w:before="75" w:after="0"/>
      </w:pPr>
      <w:r>
        <w:rPr/>
        <w:t xml:space="preserve">图表：技术成熟度曲线与商用时间表</w:t>
      </w:r>
    </w:p>
    <w:p>
      <w:pPr>
        <w:spacing w:before="75" w:after="0"/>
      </w:pPr>
      <w:r>
        <w:rPr/>
        <w:t xml:space="preserve">图表：催收行业投资回报周期分析</w:t>
      </w:r>
    </w:p>
    <w:p>
      <w:pPr>
        <w:spacing w:before="75" w:after="0"/>
      </w:pPr>
      <w:r>
        <w:rPr/>
        <w:t xml:space="preserve">图表：进入壁垒因素重要性排序</w:t>
      </w:r>
    </w:p>
    <w:p>
      <w:pPr>
        <w:spacing w:before="75" w:after="0"/>
      </w:pPr>
      <w:r>
        <w:rPr/>
        <w:t xml:space="preserve">图表：全球主要国家催收行业发展阶段对比</w:t>
      </w:r>
    </w:p>
    <w:p>
      <w:pPr>
        <w:spacing w:before="75" w:after="0"/>
      </w:pPr>
      <w:r>
        <w:rPr/>
        <w:t xml:space="preserve">图表：2026-2031年中国各类债务规模预测表</w:t>
      </w:r>
    </w:p>
    <w:p>
      <w:pPr>
        <w:spacing w:before="75" w:after="0"/>
      </w:pPr>
      <w:r>
        <w:rPr/>
        <w:t xml:space="preserve">图表：2023-2030年中国催收市场规模测算表</w:t>
      </w:r>
    </w:p>
    <w:p>
      <w:pPr>
        <w:spacing w:before="75" w:after="0"/>
      </w:pPr>
      <w:r>
        <w:rPr/>
        <w:t xml:space="preserve">图表：2023-2025年催收产业链各环节市场规模</w:t>
      </w:r>
    </w:p>
    <w:p>
      <w:pPr>
        <w:spacing w:before="75" w:after="0"/>
      </w:pPr>
      <w:r>
        <w:rPr/>
        <w:t xml:space="preserve">图表：不同催收方式成本效益对比分析</w:t>
      </w:r>
    </w:p>
    <w:p>
      <w:pPr>
        <w:spacing w:before="75" w:after="0"/>
      </w:pPr>
      <w:r>
        <w:rPr/>
        <w:t xml:space="preserve">图表：2026-2031年各应用领域催收需求增长率预测</w:t>
      </w:r>
    </w:p>
    <w:p>
      <w:pPr>
        <w:spacing w:before="75" w:after="0"/>
      </w:pPr>
      <w:r>
        <w:rPr/>
        <w:t xml:space="preserve">图表：2025年重点经济区域市场指标对比</w:t>
      </w:r>
    </w:p>
    <w:p>
      <w:pPr>
        <w:spacing w:before="75" w:after="0"/>
      </w:pPr>
      <w:r>
        <w:rPr/>
        <w:t xml:space="preserve">图表：主流催收技术应用场景与效果评估</w:t>
      </w:r>
    </w:p>
    <w:p>
      <w:pPr>
        <w:spacing w:before="75" w:after="0"/>
      </w:pPr>
      <w:r>
        <w:rPr/>
        <w:t xml:space="preserve">图表：主要市场参与者竞争力评分矩阵</w:t>
      </w:r>
    </w:p>
    <w:p>
      <w:pPr>
        <w:spacing w:before="75" w:after="0"/>
      </w:pPr>
      <w:r>
        <w:rPr/>
        <w:t xml:space="preserve">图表：三种商业模式盈利能力对比</w:t>
      </w:r>
    </w:p>
    <w:p>
      <w:pPr>
        <w:spacing w:before="75" w:after="0"/>
      </w:pPr>
      <w:r>
        <w:rPr/>
        <w:t xml:space="preserve">图表：催收机构关键运营效率指标基准</w:t>
      </w:r>
    </w:p>
    <w:p>
      <w:pPr>
        <w:spacing w:before="75" w:after="0"/>
      </w:pPr>
      <w:r>
        <w:rPr/>
        <w:t xml:space="preserve">图表：2023-2025年行业风险事件发生率统计</w:t>
      </w:r>
    </w:p>
    <w:p>
      <w:pPr>
        <w:spacing w:before="75" w:after="0"/>
      </w:pPr>
      <w:r>
        <w:rPr/>
        <w:t xml:space="preserve">图表：2026-2031年细分领域市场规模预测</w:t>
      </w:r>
    </w:p>
    <w:p>
      <w:pPr>
        <w:spacing w:before="75" w:after="0"/>
      </w:pPr>
      <w:r>
        <w:rPr/>
        <w:t xml:space="preserve">图表：不同进入策略优劣势分析</w:t>
      </w:r>
    </w:p>
    <w:p>
      <w:pPr>
        <w:spacing w:before="75" w:after="0"/>
      </w:pPr>
      <w:r>
        <w:rPr/>
        <w:t xml:space="preserve">图表：可持续发展指标评价体系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2026-2031年中国专业化催收行业深度调研与发展战略研究报告</dc:title>
  <dc:description>2026-2031年中国专业化催收行业深度调研与发展战略研究报告</dc:description>
  <dc:subject>2026-2031年中国专业化催收行业深度调研与发展战略研究报告</dc:subject>
  <cp:keywords>研究报告</cp:keywords>
  <cp:category>研究报告</cp:category>
  <cp:lastModifiedBy>北京中道泰和信息咨询有限公司</cp:lastModifiedBy>
  <dcterms:created xsi:type="dcterms:W3CDTF">2026-03-30T18:55:53+08:00</dcterms:created>
  <dcterms:modified xsi:type="dcterms:W3CDTF">2026-03-30T18:55:53+08:00</dcterms:modified>
</cp:coreProperties>
</file>

<file path=docProps/custom.xml><?xml version="1.0" encoding="utf-8"?>
<Properties xmlns="http://schemas.openxmlformats.org/officeDocument/2006/custom-properties" xmlns:vt="http://schemas.openxmlformats.org/officeDocument/2006/docPropsVTypes"/>
</file>