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2026-2031年中国绿色催收行业深度分析与发展趋势前瞻研究报告</w:t>
      </w:r>
    </w:p>
    <w:p>
      <w:pPr>
        <w:spacing w:after="150"/>
      </w:pPr>
      <w:r>
        <w:rPr>
          <w:b w:val="1"/>
          <w:bCs w:val="1"/>
        </w:rPr>
        <w:t xml:space="preserve">报告简介</w:t>
      </w:r>
    </w:p>
    <w:p>
      <w:pPr>
        <w:spacing w:after="150"/>
      </w:pPr>
      <w:r>
        <w:rPr/>
        <w:t xml:space="preserve">随着国内信贷市场持续扩容与金融深化进程加速，不良资产处置已成为维护金融稳定的重要环节。传统催收模式因合规边界模糊、操作手段粗放而频遭诟病，“绿色催收”理念应运而生。所谓绿色催收，是指在严格遵循法律法规与商业伦理的前提下，以柔性沟通、智能调解、平等协商为核心，通过科技赋能与人性化服务实现债务回收的可持续发展模式。这一概念不仅是对暴力催收乱象的纠偏，更是催收行业从灰色地带迈向阳光化、专业化的必然选择，标志着行业价值从单一回款导向转向兼顾社会责任、客户体验与金融生态健康的多维平衡。</w:t>
      </w:r>
    </w:p>
    <w:p>
      <w:pPr>
        <w:spacing w:after="150"/>
      </w:pPr>
      <w:r>
        <w:rPr/>
        <w:t xml:space="preserve">当前，我国绿色催收行业正处于规范化发展的关键拐点。政策层面，自2024年《互联网金融贷后催收业务指引》发布以来，监管框架日趋完善，对催收频次、时间、信息保护等环节提出精细化要求，行业准入门槛显著提升，倒逼存量机构加速合规转型。技术层面，大数据风控、人工智能语因分析、智能调解机器人等金融科技工具深度嵌入催收全流程，推动作业模式从人力密集型向技术驱动型转变，在提升效率的同时有效降低对债务人的侵扰。市场层面，第三方催收机构数量众多但良莠不齐，具备合规能力、技术实力与品牌信誉的头部机构正逐步重塑行业格局，专业化、细分化的服务生态初现雏形。未来，绿色催收行业将呈现三大核心趋势。其一，科技赋能将持续深化，AI驱动的个性化还款方案、情感识别与智能分案系统将成为标配，实现精准催收与体验优化的有机统一。其二，合规要求将进一步内化为主动治理能力，行业自律组织与信用管理体系有望建立，催收行为可追溯、可评价、可监督的全周期管理闭环将加速形成。其三，服务模式将向多元化延伸，从单一电话催收转向“调解+仲裁+司法”联动的综合解决方案，早期介入、债务重组、金融消费者教育等增值服务将成为新的价值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催收行业研究单位等公布和提供的大量资料。报告对我国绿色催收行业的供需状况、发展现状、子行业发展变化等进行了分析，重点分析了国内外绿色催收行业的发展现状、如何面对行业的发展挑战、行业的发展建议、行业竞争力，以及行业的投资分析和趋势预测等等。报告还综合了绿色催收行业的整体发展动态，对行业在产品方面提供了参考建议和具体解决办法。报告对于绿色催收产品生产企业、经销商、行业管理部门以及拟进入该行业的投资者具有重要的参考价值，对于研究我国绿色催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绿色催收行业范畴界定与基本特征分析</w:t>
      </w:r>
    </w:p>
    <w:p>
      <w:pPr>
        <w:spacing w:before="75" w:after="0"/>
      </w:pPr>
      <w:r>
        <w:rPr/>
        <w:t xml:space="preserve">第一节 行业定义与业务边界</w:t>
      </w:r>
    </w:p>
    <w:p>
      <w:pPr>
        <w:spacing w:before="75" w:after="0"/>
      </w:pPr>
      <w:r>
        <w:rPr/>
        <w:t xml:space="preserve">一、绿色催收核心概念界定与内涵解析</w:t>
      </w:r>
    </w:p>
    <w:p>
      <w:pPr>
        <w:spacing w:before="75" w:after="0"/>
      </w:pPr>
      <w:r>
        <w:rPr/>
        <w:t xml:space="preserve">二、主营业务范围与绿色分类标准</w:t>
      </w:r>
    </w:p>
    <w:p>
      <w:pPr>
        <w:spacing w:before="75" w:after="0"/>
      </w:pPr>
      <w:r>
        <w:rPr/>
        <w:t xml:space="preserve">三、行业在信用治理体系中的功能定位</w:t>
      </w:r>
    </w:p>
    <w:p>
      <w:pPr>
        <w:spacing w:before="75" w:after="0"/>
      </w:pPr>
      <w:r>
        <w:rPr/>
        <w:t xml:space="preserve">四、绿色催收与传统催收的本质差异辨析</w:t>
      </w:r>
    </w:p>
    <w:p>
      <w:pPr>
        <w:spacing w:before="75" w:after="0"/>
      </w:pPr>
      <w:r>
        <w:rPr/>
        <w:t xml:space="preserve">第二节 行业属性与运行特征</w:t>
      </w:r>
    </w:p>
    <w:p>
      <w:pPr>
        <w:spacing w:before="75" w:after="0"/>
      </w:pPr>
      <w:r>
        <w:rPr/>
        <w:t xml:space="preserve">一、技术密集型与合规优先型双重属性</w:t>
      </w:r>
    </w:p>
    <w:p>
      <w:pPr>
        <w:spacing w:before="75" w:after="0"/>
      </w:pPr>
      <w:r>
        <w:rPr/>
        <w:t xml:space="preserve">二、周期性特征与信贷周期关联度</w:t>
      </w:r>
    </w:p>
    <w:p>
      <w:pPr>
        <w:spacing w:before="75" w:after="0"/>
      </w:pPr>
      <w:r>
        <w:rPr/>
        <w:t xml:space="preserve">三、区域性分布与数字基础设施依赖</w:t>
      </w:r>
    </w:p>
    <w:p>
      <w:pPr>
        <w:spacing w:before="75" w:after="0"/>
      </w:pPr>
      <w:r>
        <w:rPr/>
        <w:t xml:space="preserve">四、产业链轻量化与碳足迹减量特征</w:t>
      </w:r>
    </w:p>
    <w:p>
      <w:pPr>
        <w:spacing w:before="75" w:after="0"/>
      </w:pPr>
      <w:r>
        <w:rPr/>
        <w:t xml:space="preserve">第三节 专业术语与统计口径</w:t>
      </w:r>
    </w:p>
    <w:p>
      <w:pPr>
        <w:spacing w:before="75" w:after="0"/>
      </w:pPr>
      <w:r>
        <w:rPr/>
        <w:t xml:space="preserve">一、合规回收率与绿色效率指标体系</w:t>
      </w:r>
    </w:p>
    <w:p>
      <w:pPr>
        <w:spacing w:before="75" w:after="0"/>
      </w:pPr>
      <w:r>
        <w:rPr/>
        <w:t xml:space="preserve">二、技术渗透率与智能化水平测算标准</w:t>
      </w:r>
    </w:p>
    <w:p>
      <w:pPr>
        <w:spacing w:before="75" w:after="0"/>
      </w:pPr>
      <w:r>
        <w:rPr/>
        <w:t xml:space="preserve">三、客户体验指数与投诉率控制目标</w:t>
      </w:r>
    </w:p>
    <w:p>
      <w:pPr>
        <w:spacing w:before="75" w:after="0"/>
      </w:pPr>
      <w:r>
        <w:rPr/>
        <w:t xml:space="preserve">四、行业绿色认证等级划分方法</w:t>
      </w:r>
    </w:p>
    <w:p>
      <w:pPr>
        <w:spacing w:before="75" w:after="0"/>
      </w:pPr>
      <w:r>
        <w:rPr>
          <w:b w:val="1"/>
          <w:bCs w:val="1"/>
        </w:rPr>
        <w:t xml:space="preserve">第二章 2026-2031年全球绿色催收行业发展环境扫描</w:t>
      </w:r>
    </w:p>
    <w:p>
      <w:pPr>
        <w:spacing w:before="75" w:after="0"/>
      </w:pPr>
      <w:r>
        <w:rPr/>
        <w:t xml:space="preserve">第一节 国际经济与技术环境</w:t>
      </w:r>
    </w:p>
    <w:p>
      <w:pPr>
        <w:spacing w:before="75" w:after="0"/>
      </w:pPr>
      <w:r>
        <w:rPr/>
        <w:t xml:space="preserve">一、全球信贷资产质量变化趋势</w:t>
      </w:r>
    </w:p>
    <w:p>
      <w:pPr>
        <w:spacing w:before="75" w:after="0"/>
      </w:pPr>
      <w:r>
        <w:rPr/>
        <w:t xml:space="preserve">二、人工智能应用成熟度演进路径</w:t>
      </w:r>
    </w:p>
    <w:p>
      <w:pPr>
        <w:spacing w:before="75" w:after="0"/>
      </w:pPr>
      <w:r>
        <w:rPr/>
        <w:t xml:space="preserve">三、数据隐私保护框架强化方向</w:t>
      </w:r>
    </w:p>
    <w:p>
      <w:pPr>
        <w:spacing w:before="75" w:after="0"/>
      </w:pPr>
      <w:r>
        <w:rPr/>
        <w:t xml:space="preserve">四、跨境不良资产处置数字化进程</w:t>
      </w:r>
    </w:p>
    <w:p>
      <w:pPr>
        <w:spacing w:before="75" w:after="0"/>
      </w:pPr>
      <w:r>
        <w:rPr/>
        <w:t xml:space="preserve">第二节 全球技术变革趋势</w:t>
      </w:r>
    </w:p>
    <w:p>
      <w:pPr>
        <w:spacing w:before="75" w:after="0"/>
      </w:pPr>
      <w:r>
        <w:rPr/>
        <w:t xml:space="preserve">一、生成式ai在催收场景的渗透深度</w:t>
      </w:r>
    </w:p>
    <w:p>
      <w:pPr>
        <w:spacing w:before="75" w:after="0"/>
      </w:pPr>
      <w:r>
        <w:rPr/>
        <w:t xml:space="preserve">二、多模态交互技术成熟度评估</w:t>
      </w:r>
    </w:p>
    <w:p>
      <w:pPr>
        <w:spacing w:before="75" w:after="0"/>
      </w:pPr>
      <w:r>
        <w:rPr/>
        <w:t xml:space="preserve">三、联邦学习在数据协作中的应用</w:t>
      </w:r>
    </w:p>
    <w:p>
      <w:pPr>
        <w:spacing w:before="75" w:after="0"/>
      </w:pPr>
      <w:r>
        <w:rPr/>
        <w:t xml:space="preserve">四、区块链存证技术普及率预测</w:t>
      </w:r>
    </w:p>
    <w:p>
      <w:pPr>
        <w:spacing w:before="75" w:after="0"/>
      </w:pPr>
      <w:r>
        <w:rPr/>
        <w:t xml:space="preserve">第三节 国际经验模式比较</w:t>
      </w:r>
    </w:p>
    <w:p>
      <w:pPr>
        <w:spacing w:before="75" w:after="0"/>
      </w:pPr>
      <w:r>
        <w:rPr/>
        <w:t xml:space="preserve">一、欧美合规科技驱动模式特点</w:t>
      </w:r>
    </w:p>
    <w:p>
      <w:pPr>
        <w:spacing w:before="75" w:after="0"/>
      </w:pPr>
      <w:r>
        <w:rPr/>
        <w:t xml:space="preserve">二、东南亚数字基础设施驱动模式</w:t>
      </w:r>
    </w:p>
    <w:p>
      <w:pPr>
        <w:spacing w:before="75" w:after="0"/>
      </w:pPr>
      <w:r>
        <w:rPr/>
        <w:t xml:space="preserve">三、发达市场绿色标准认证体系</w:t>
      </w:r>
    </w:p>
    <w:p>
      <w:pPr>
        <w:spacing w:before="75" w:after="0"/>
      </w:pPr>
      <w:r>
        <w:rPr/>
        <w:t xml:space="preserve">四、国际经验对中国市场适配性分析</w:t>
      </w:r>
    </w:p>
    <w:p>
      <w:pPr>
        <w:spacing w:before="75" w:after="0"/>
      </w:pPr>
      <w:r>
        <w:rPr>
          <w:b w:val="1"/>
          <w:bCs w:val="1"/>
        </w:rPr>
        <w:t xml:space="preserve">第三章 中国宏观经济与金融环境分析</w:t>
      </w:r>
    </w:p>
    <w:p>
      <w:pPr>
        <w:spacing w:before="75" w:after="0"/>
      </w:pPr>
      <w:r>
        <w:rPr/>
        <w:t xml:space="preserve">第一节 信贷资产规模与质量趋势</w:t>
      </w:r>
    </w:p>
    <w:p>
      <w:pPr>
        <w:spacing w:before="75" w:after="0"/>
      </w:pPr>
      <w:r>
        <w:rPr/>
        <w:t xml:space="preserve">一、金融机构信贷余额增速预测</w:t>
      </w:r>
    </w:p>
    <w:p>
      <w:pPr>
        <w:spacing w:before="75" w:after="0"/>
      </w:pPr>
      <w:r>
        <w:rPr/>
        <w:t xml:space="preserve">二、个人消费贷与企业贷不良生成率</w:t>
      </w:r>
    </w:p>
    <w:p>
      <w:pPr>
        <w:spacing w:before="75" w:after="0"/>
      </w:pPr>
      <w:r>
        <w:rPr/>
        <w:t xml:space="preserve">三、信用卡与小额贷款逾期规模</w:t>
      </w:r>
    </w:p>
    <w:p>
      <w:pPr>
        <w:spacing w:before="75" w:after="0"/>
      </w:pPr>
      <w:r>
        <w:rPr/>
        <w:t xml:space="preserve">四、应收账款证券化市场影响</w:t>
      </w:r>
    </w:p>
    <w:p>
      <w:pPr>
        <w:spacing w:before="75" w:after="0"/>
      </w:pPr>
      <w:r>
        <w:rPr/>
        <w:t xml:space="preserve">第二节 数字化转型环境</w:t>
      </w:r>
    </w:p>
    <w:p>
      <w:pPr>
        <w:spacing w:before="75" w:after="0"/>
      </w:pPr>
      <w:r>
        <w:rPr/>
        <w:t xml:space="preserve">一、金融机构科技投入增速</w:t>
      </w:r>
    </w:p>
    <w:p>
      <w:pPr>
        <w:spacing w:before="75" w:after="0"/>
      </w:pPr>
      <w:r>
        <w:rPr/>
        <w:t xml:space="preserve">二、监管科技(regtech)应用普及</w:t>
      </w:r>
    </w:p>
    <w:p>
      <w:pPr>
        <w:spacing w:before="75" w:after="0"/>
      </w:pPr>
      <w:r>
        <w:rPr/>
        <w:t xml:space="preserve">三、数据要素市场化配置进程</w:t>
      </w:r>
    </w:p>
    <w:p>
      <w:pPr>
        <w:spacing w:before="75" w:after="0"/>
      </w:pPr>
      <w:r>
        <w:rPr/>
        <w:t xml:space="preserve">四、算力基础设施成本变化</w:t>
      </w:r>
    </w:p>
    <w:p>
      <w:pPr>
        <w:spacing w:before="75" w:after="0"/>
      </w:pPr>
      <w:r>
        <w:rPr/>
        <w:t xml:space="preserve">第三节 社会治理环境</w:t>
      </w:r>
    </w:p>
    <w:p>
      <w:pPr>
        <w:spacing w:before="75" w:after="0"/>
      </w:pPr>
      <w:r>
        <w:rPr/>
        <w:t xml:space="preserve">一、个人信息保护执行力强度</w:t>
      </w:r>
    </w:p>
    <w:p>
      <w:pPr>
        <w:spacing w:before="75" w:after="0"/>
      </w:pPr>
      <w:r>
        <w:rPr/>
        <w:t xml:space="preserve">二、消费者权益保护意识提升</w:t>
      </w:r>
    </w:p>
    <w:p>
      <w:pPr>
        <w:spacing w:before="75" w:after="0"/>
      </w:pPr>
      <w:r>
        <w:rPr/>
        <w:t xml:space="preserve">三、社会信用体系完善程度</w:t>
      </w:r>
    </w:p>
    <w:p>
      <w:pPr>
        <w:spacing w:before="75" w:after="0"/>
      </w:pPr>
      <w:r>
        <w:rPr/>
        <w:t xml:space="preserve">四、行业社会形象修复需求</w:t>
      </w:r>
    </w:p>
    <w:p>
      <w:pPr>
        <w:spacing w:before="75" w:after="0"/>
      </w:pPr>
      <w:r>
        <w:rPr>
          <w:b w:val="1"/>
          <w:bCs w:val="1"/>
        </w:rPr>
        <w:t xml:space="preserve">第四章 2025年中国绿色催收行业发展现状评估</w:t>
      </w:r>
    </w:p>
    <w:p>
      <w:pPr>
        <w:spacing w:before="75" w:after="0"/>
      </w:pPr>
      <w:r>
        <w:rPr/>
        <w:t xml:space="preserve">第一节 绿色催收服务供给现状</w:t>
      </w:r>
    </w:p>
    <w:p>
      <w:pPr>
        <w:spacing w:before="75" w:after="0"/>
      </w:pPr>
      <w:r>
        <w:rPr/>
        <w:t xml:space="preserve">一、持牌机构数量与产能布局</w:t>
      </w:r>
    </w:p>
    <w:p>
      <w:pPr>
        <w:spacing w:before="75" w:after="0"/>
      </w:pPr>
      <w:r>
        <w:rPr/>
        <w:t xml:space="preserve">二、技术服务商市场规模统计</w:t>
      </w:r>
    </w:p>
    <w:p>
      <w:pPr>
        <w:spacing w:before="75" w:after="0"/>
      </w:pPr>
      <w:r>
        <w:rPr/>
        <w:t xml:space="preserve">三、从业人员结构变化(技术岗占比)</w:t>
      </w:r>
    </w:p>
    <w:p>
      <w:pPr>
        <w:spacing w:before="75" w:after="0"/>
      </w:pPr>
      <w:r>
        <w:rPr/>
        <w:t xml:space="preserve">四、行业平均科技投入强度</w:t>
      </w:r>
    </w:p>
    <w:p>
      <w:pPr>
        <w:spacing w:before="75" w:after="0"/>
      </w:pPr>
      <w:r>
        <w:rPr/>
        <w:t xml:space="preserve">第二节 市场需求容量分析</w:t>
      </w:r>
    </w:p>
    <w:p>
      <w:pPr>
        <w:spacing w:before="75" w:after="0"/>
      </w:pPr>
      <w:r>
        <w:rPr/>
        <w:t xml:space="preserve">一、金融机构外包催收预算规模</w:t>
      </w:r>
    </w:p>
    <w:p>
      <w:pPr>
        <w:spacing w:before="75" w:after="0"/>
      </w:pPr>
      <w:r>
        <w:rPr/>
        <w:t xml:space="preserve">二、智能催收系统采购需求</w:t>
      </w:r>
    </w:p>
    <w:p>
      <w:pPr>
        <w:spacing w:before="75" w:after="0"/>
      </w:pPr>
      <w:r>
        <w:rPr/>
        <w:t xml:space="preserve">三、合规咨询与培训服务市场</w:t>
      </w:r>
    </w:p>
    <w:p>
      <w:pPr>
        <w:spacing w:before="75" w:after="0"/>
      </w:pPr>
      <w:r>
        <w:rPr/>
        <w:t xml:space="preserve">四、碳中和目标下绿色认证需求</w:t>
      </w:r>
    </w:p>
    <w:p>
      <w:pPr>
        <w:spacing w:before="75" w:after="0"/>
      </w:pPr>
      <w:r>
        <w:rPr/>
        <w:t xml:space="preserve">第三节 运营效率指标对标</w:t>
      </w:r>
    </w:p>
    <w:p>
      <w:pPr>
        <w:spacing w:before="75" w:after="0"/>
      </w:pPr>
      <w:r>
        <w:rPr/>
        <w:t xml:space="preserve">一、ai催收平均回收率提升幅度</w:t>
      </w:r>
    </w:p>
    <w:p>
      <w:pPr>
        <w:spacing w:before="75" w:after="0"/>
      </w:pPr>
      <w:r>
        <w:rPr/>
        <w:t xml:space="preserve">二、人机协同作业效率对比</w:t>
      </w:r>
    </w:p>
    <w:p>
      <w:pPr>
        <w:spacing w:before="75" w:after="0"/>
      </w:pPr>
      <w:r>
        <w:rPr/>
        <w:t xml:space="preserve">三、客户投诉率下降幅度</w:t>
      </w:r>
    </w:p>
    <w:p>
      <w:pPr>
        <w:spacing w:before="75" w:after="0"/>
      </w:pPr>
      <w:r>
        <w:rPr/>
        <w:t xml:space="preserve">四、单户催收能耗降低水平</w:t>
      </w:r>
    </w:p>
    <w:p>
      <w:pPr>
        <w:spacing w:before="75" w:after="0"/>
      </w:pPr>
      <w:r>
        <w:rPr>
          <w:b w:val="1"/>
          <w:bCs w:val="1"/>
        </w:rPr>
        <w:t xml:space="preserve">第五章 2026-2031年中国绿色催收市场规模预测</w:t>
      </w:r>
    </w:p>
    <w:p>
      <w:pPr>
        <w:spacing w:before="75" w:after="0"/>
      </w:pPr>
      <w:r>
        <w:rPr/>
        <w:t xml:space="preserve">第一节 整体市场规模测算</w:t>
      </w:r>
    </w:p>
    <w:p>
      <w:pPr>
        <w:spacing w:before="75" w:after="0"/>
      </w:pPr>
      <w:r>
        <w:rPr/>
        <w:t xml:space="preserve">一、2026年市场规模基准值预测</w:t>
      </w:r>
    </w:p>
    <w:p>
      <w:pPr>
        <w:spacing w:before="75" w:after="0"/>
      </w:pPr>
      <w:r>
        <w:rPr/>
        <w:t xml:space="preserve">二、2026-2031年复合增长率区间</w:t>
      </w:r>
    </w:p>
    <w:p>
      <w:pPr>
        <w:spacing w:before="75" w:after="0"/>
      </w:pPr>
      <w:r>
        <w:rPr/>
        <w:t xml:space="preserve">三、技术驱动型市场占比变化</w:t>
      </w:r>
    </w:p>
    <w:p>
      <w:pPr>
        <w:spacing w:before="75" w:after="0"/>
      </w:pPr>
      <w:r>
        <w:rPr/>
        <w:t xml:space="preserve">四、绿色认证服务溢价水平</w:t>
      </w:r>
    </w:p>
    <w:p>
      <w:pPr>
        <w:spacing w:before="75" w:after="0"/>
      </w:pPr>
      <w:r>
        <w:rPr/>
        <w:t xml:space="preserve">第二节 细分市场结构演变</w:t>
      </w:r>
    </w:p>
    <w:p>
      <w:pPr>
        <w:spacing w:before="75" w:after="0"/>
      </w:pPr>
      <w:r>
        <w:rPr/>
        <w:t xml:space="preserve">一、智能外呼系统市场规模</w:t>
      </w:r>
    </w:p>
    <w:p>
      <w:pPr>
        <w:spacing w:before="75" w:after="0"/>
      </w:pPr>
      <w:r>
        <w:rPr/>
        <w:t xml:space="preserve">二、智能质检与合规管理市场</w:t>
      </w:r>
    </w:p>
    <w:p>
      <w:pPr>
        <w:spacing w:before="75" w:after="0"/>
      </w:pPr>
      <w:r>
        <w:rPr/>
        <w:t xml:space="preserve">三、不良资产数字化处置平台市场</w:t>
      </w:r>
    </w:p>
    <w:p>
      <w:pPr>
        <w:spacing w:before="75" w:after="0"/>
      </w:pPr>
      <w:r>
        <w:rPr/>
        <w:t xml:space="preserve">四、催收数据分析服务市场</w:t>
      </w:r>
    </w:p>
    <w:p>
      <w:pPr>
        <w:spacing w:before="75" w:after="0"/>
      </w:pPr>
      <w:r>
        <w:rPr/>
        <w:t xml:space="preserve">第三节 区域市场增长动能</w:t>
      </w:r>
    </w:p>
    <w:p>
      <w:pPr>
        <w:spacing w:before="75" w:after="0"/>
      </w:pPr>
      <w:r>
        <w:rPr/>
        <w:t xml:space="preserve">一、长三角地区技术采纳率预测</w:t>
      </w:r>
    </w:p>
    <w:p>
      <w:pPr>
        <w:spacing w:before="75" w:after="0"/>
      </w:pPr>
      <w:r>
        <w:rPr/>
        <w:t xml:space="preserve">二、粤港澳大湾区跨境业务潜力</w:t>
      </w:r>
    </w:p>
    <w:p>
      <w:pPr>
        <w:spacing w:before="75" w:after="0"/>
      </w:pPr>
      <w:r>
        <w:rPr/>
        <w:t xml:space="preserve">三、成渝地区双城经济圈增长空间</w:t>
      </w:r>
    </w:p>
    <w:p>
      <w:pPr>
        <w:spacing w:before="75" w:after="0"/>
      </w:pPr>
      <w:r>
        <w:rPr/>
        <w:t xml:space="preserve">四、京津冀地区监管科技需求</w:t>
      </w:r>
    </w:p>
    <w:p>
      <w:pPr>
        <w:spacing w:before="75" w:after="0"/>
      </w:pPr>
      <w:r>
        <w:rPr>
          <w:b w:val="1"/>
          <w:bCs w:val="1"/>
        </w:rPr>
        <w:t xml:space="preserve">第六章 技术驱动下的业务模式创新</w:t>
      </w:r>
    </w:p>
    <w:p>
      <w:pPr>
        <w:spacing w:before="75" w:after="0"/>
      </w:pPr>
      <w:r>
        <w:rPr/>
        <w:t xml:space="preserve">第一节 智能催收产品矩阵</w:t>
      </w:r>
    </w:p>
    <w:p>
      <w:pPr>
        <w:spacing w:before="75" w:after="0"/>
      </w:pPr>
      <w:r>
        <w:rPr/>
        <w:t xml:space="preserve">一、ai语音机器人渗透率与准确率</w:t>
      </w:r>
    </w:p>
    <w:p>
      <w:pPr>
        <w:spacing w:before="75" w:after="0"/>
      </w:pPr>
      <w:r>
        <w:rPr/>
        <w:t xml:space="preserve">二、智能分案与策略优化系统</w:t>
      </w:r>
    </w:p>
    <w:p>
      <w:pPr>
        <w:spacing w:before="75" w:after="0"/>
      </w:pPr>
      <w:r>
        <w:rPr/>
        <w:t xml:space="preserve">三、虚拟催收员交互体验评估</w:t>
      </w:r>
    </w:p>
    <w:p>
      <w:pPr>
        <w:spacing w:before="75" w:after="0"/>
      </w:pPr>
      <w:r>
        <w:rPr/>
        <w:t xml:space="preserve">四、预测式催收模型应用效果</w:t>
      </w:r>
    </w:p>
    <w:p>
      <w:pPr>
        <w:spacing w:before="75" w:after="0"/>
      </w:pPr>
      <w:r>
        <w:rPr/>
        <w:t xml:space="preserve">第二节 合规科技应用创新</w:t>
      </w:r>
    </w:p>
    <w:p>
      <w:pPr>
        <w:spacing w:before="75" w:after="0"/>
      </w:pPr>
      <w:r>
        <w:rPr/>
        <w:t xml:space="preserve">一、实时质检系统覆盖率</w:t>
      </w:r>
    </w:p>
    <w:p>
      <w:pPr>
        <w:spacing w:before="75" w:after="0"/>
      </w:pPr>
      <w:r>
        <w:rPr/>
        <w:t xml:space="preserve">二、情绪识别与话术动态调整</w:t>
      </w:r>
    </w:p>
    <w:p>
      <w:pPr>
        <w:spacing w:before="75" w:after="0"/>
      </w:pPr>
      <w:r>
        <w:rPr/>
        <w:t xml:space="preserve">三、区块链存证与司法衔接</w:t>
      </w:r>
    </w:p>
    <w:p>
      <w:pPr>
        <w:spacing w:before="75" w:after="0"/>
      </w:pPr>
      <w:r>
        <w:rPr/>
        <w:t xml:space="preserve">四、隐私计算在数据协作中的应用</w:t>
      </w:r>
    </w:p>
    <w:p>
      <w:pPr>
        <w:spacing w:before="75" w:after="0"/>
      </w:pPr>
      <w:r>
        <w:rPr/>
        <w:t xml:space="preserve">第三节 服务延伸与价值链拓展</w:t>
      </w:r>
    </w:p>
    <w:p>
      <w:pPr>
        <w:spacing w:before="75" w:after="0"/>
      </w:pPr>
      <w:r>
        <w:rPr/>
        <w:t xml:space="preserve">一、债务人信用修复咨询服务</w:t>
      </w:r>
    </w:p>
    <w:p>
      <w:pPr>
        <w:spacing w:before="75" w:after="0"/>
      </w:pPr>
      <w:r>
        <w:rPr/>
        <w:t xml:space="preserve">二、esg评级提升支持服务</w:t>
      </w:r>
    </w:p>
    <w:p>
      <w:pPr>
        <w:spacing w:before="75" w:after="0"/>
      </w:pPr>
      <w:r>
        <w:rPr/>
        <w:t xml:space="preserve">三、碳足迹核算与减排认证</w:t>
      </w:r>
    </w:p>
    <w:p>
      <w:pPr>
        <w:spacing w:before="75" w:after="0"/>
      </w:pPr>
      <w:r>
        <w:rPr/>
        <w:t xml:space="preserve">四、跨境账款绿色追收方案</w:t>
      </w:r>
    </w:p>
    <w:p>
      <w:pPr>
        <w:spacing w:before="75" w:after="0"/>
      </w:pPr>
      <w:r>
        <w:rPr>
          <w:b w:val="1"/>
          <w:bCs w:val="1"/>
        </w:rPr>
        <w:t xml:space="preserve">第七章 核心支撑技术发展成熟度评估</w:t>
      </w:r>
    </w:p>
    <w:p>
      <w:pPr>
        <w:spacing w:before="75" w:after="0"/>
      </w:pPr>
      <w:r>
        <w:rPr/>
        <w:t xml:space="preserve">第一节 人工智能技术应用深度</w:t>
      </w:r>
    </w:p>
    <w:p>
      <w:pPr>
        <w:spacing w:before="75" w:after="0"/>
      </w:pPr>
      <w:r>
        <w:rPr/>
        <w:t xml:space="preserve">一、大模型在催收场景的准确率提升曲线</w:t>
      </w:r>
    </w:p>
    <w:p>
      <w:pPr>
        <w:spacing w:before="75" w:after="0"/>
      </w:pPr>
      <w:r>
        <w:rPr/>
        <w:t xml:space="preserve">二、多模态数据融合分析能力</w:t>
      </w:r>
    </w:p>
    <w:p>
      <w:pPr>
        <w:spacing w:before="75" w:after="0"/>
      </w:pPr>
      <w:r>
        <w:rPr/>
        <w:t xml:space="preserve">三、自适应学习系统迭代周期</w:t>
      </w:r>
    </w:p>
    <w:p>
      <w:pPr>
        <w:spacing w:before="75" w:after="0"/>
      </w:pPr>
      <w:r>
        <w:rPr/>
        <w:t xml:space="preserve">四、人机协同决策机制优化</w:t>
      </w:r>
    </w:p>
    <w:p>
      <w:pPr>
        <w:spacing w:before="75" w:after="0"/>
      </w:pPr>
      <w:r>
        <w:rPr/>
        <w:t xml:space="preserve">第二节 大数据基础设施完善度</w:t>
      </w:r>
    </w:p>
    <w:p>
      <w:pPr>
        <w:spacing w:before="75" w:after="0"/>
      </w:pPr>
      <w:r>
        <w:rPr/>
        <w:t xml:space="preserve">一、失联信息修复技术成功率</w:t>
      </w:r>
    </w:p>
    <w:p>
      <w:pPr>
        <w:spacing w:before="75" w:after="0"/>
      </w:pPr>
      <w:r>
        <w:rPr/>
        <w:t xml:space="preserve">二、还款能力评估模型维度扩展</w:t>
      </w:r>
    </w:p>
    <w:p>
      <w:pPr>
        <w:spacing w:before="75" w:after="0"/>
      </w:pPr>
      <w:r>
        <w:rPr/>
        <w:t xml:space="preserve">三、催收行为数据资产化程度</w:t>
      </w:r>
    </w:p>
    <w:p>
      <w:pPr>
        <w:spacing w:before="75" w:after="0"/>
      </w:pPr>
      <w:r>
        <w:rPr/>
        <w:t xml:space="preserve">四、数据安全与隐私保护技术成熟度</w:t>
      </w:r>
    </w:p>
    <w:p>
      <w:pPr>
        <w:spacing w:before="75" w:after="0"/>
      </w:pPr>
      <w:r>
        <w:rPr/>
        <w:t xml:space="preserve">第三节 系统平台化与云化趋势</w:t>
      </w:r>
    </w:p>
    <w:p>
      <w:pPr>
        <w:spacing w:before="75" w:after="0"/>
      </w:pPr>
      <w:r>
        <w:rPr/>
        <w:t xml:space="preserve">一、saas化催收管理系统渗透率</w:t>
      </w:r>
    </w:p>
    <w:p>
      <w:pPr>
        <w:spacing w:before="75" w:after="0"/>
      </w:pPr>
      <w:r>
        <w:rPr/>
        <w:t xml:space="preserve">二、api接口标准化进程评估</w:t>
      </w:r>
    </w:p>
    <w:p>
      <w:pPr>
        <w:spacing w:before="75" w:after="0"/>
      </w:pPr>
      <w:r>
        <w:rPr/>
        <w:t xml:space="preserve">三、多云部署方案成本效益</w:t>
      </w:r>
    </w:p>
    <w:p>
      <w:pPr>
        <w:spacing w:before="75" w:after="0"/>
      </w:pPr>
      <w:r>
        <w:rPr/>
        <w:t xml:space="preserve">四、系统灾备与业务连续性能力</w:t>
      </w:r>
    </w:p>
    <w:p>
      <w:pPr>
        <w:spacing w:before="75" w:after="0"/>
      </w:pPr>
      <w:r>
        <w:rPr>
          <w:b w:val="1"/>
          <w:bCs w:val="1"/>
        </w:rPr>
        <w:t xml:space="preserve">第八章 绿色催收产业链结构解析</w:t>
      </w:r>
    </w:p>
    <w:p>
      <w:pPr>
        <w:spacing w:before="75" w:after="0"/>
      </w:pPr>
      <w:r>
        <w:rPr/>
        <w:t xml:space="preserve">第一节 上游数据与技术供给</w:t>
      </w:r>
    </w:p>
    <w:p>
      <w:pPr>
        <w:spacing w:before="75" w:after="0"/>
      </w:pPr>
      <w:r>
        <w:rPr/>
        <w:t xml:space="preserve">一、征信数据接口服务市场规模</w:t>
      </w:r>
    </w:p>
    <w:p>
      <w:pPr>
        <w:spacing w:before="75" w:after="0"/>
      </w:pPr>
      <w:r>
        <w:rPr/>
        <w:t xml:space="preserve">二、运营商与互联网数据合作模式</w:t>
      </w:r>
    </w:p>
    <w:p>
      <w:pPr>
        <w:spacing w:before="75" w:after="0"/>
      </w:pPr>
      <w:r>
        <w:rPr/>
        <w:t xml:space="preserve">三、ai算法供应商竞争格局</w:t>
      </w:r>
    </w:p>
    <w:p>
      <w:pPr>
        <w:spacing w:before="75" w:after="0"/>
      </w:pPr>
      <w:r>
        <w:rPr/>
        <w:t xml:space="preserve">四、云服务采购成本变化趋势</w:t>
      </w:r>
    </w:p>
    <w:p>
      <w:pPr>
        <w:spacing w:before="75" w:after="0"/>
      </w:pPr>
      <w:r>
        <w:rPr/>
        <w:t xml:space="preserve">第二节 中游服务执行主体</w:t>
      </w:r>
    </w:p>
    <w:p>
      <w:pPr>
        <w:spacing w:before="75" w:after="0"/>
      </w:pPr>
      <w:r>
        <w:rPr/>
        <w:t xml:space="preserve">一、直营平台与生态合作模式对比</w:t>
      </w:r>
    </w:p>
    <w:p>
      <w:pPr>
        <w:spacing w:before="75" w:after="0"/>
      </w:pPr>
      <w:r>
        <w:rPr/>
        <w:t xml:space="preserve">二、全国性机构与区域性机构差异</w:t>
      </w:r>
    </w:p>
    <w:p>
      <w:pPr>
        <w:spacing w:before="75" w:after="0"/>
      </w:pPr>
      <w:r>
        <w:rPr/>
        <w:t xml:space="preserve">三、综合服务商与垂直服务商定位</w:t>
      </w:r>
    </w:p>
    <w:p>
      <w:pPr>
        <w:spacing w:before="75" w:after="0"/>
      </w:pPr>
      <w:r>
        <w:rPr/>
        <w:t xml:space="preserve">四、绿色认证机构角色与价值</w:t>
      </w:r>
    </w:p>
    <w:p>
      <w:pPr>
        <w:spacing w:before="75" w:after="0"/>
      </w:pPr>
      <w:r>
        <w:rPr/>
        <w:t xml:space="preserve">第三节 下游需求方特征</w:t>
      </w:r>
    </w:p>
    <w:p>
      <w:pPr>
        <w:spacing w:before="75" w:after="0"/>
      </w:pPr>
      <w:r>
        <w:rPr/>
        <w:t xml:space="preserve">一、银行机构智能催收采购标准</w:t>
      </w:r>
    </w:p>
    <w:p>
      <w:pPr>
        <w:spacing w:before="75" w:after="0"/>
      </w:pPr>
      <w:r>
        <w:rPr/>
        <w:t xml:space="preserve">二、持牌消费金融公司技术需求</w:t>
      </w:r>
    </w:p>
    <w:p>
      <w:pPr>
        <w:spacing w:before="75" w:after="0"/>
      </w:pPr>
      <w:r>
        <w:rPr/>
        <w:t xml:space="preserve">三、互联网平台esg合规诉求</w:t>
      </w:r>
    </w:p>
    <w:p>
      <w:pPr>
        <w:spacing w:before="75" w:after="0"/>
      </w:pPr>
      <w:r>
        <w:rPr/>
        <w:t xml:space="preserve">四、企业应收账款管理数字化需求</w:t>
      </w:r>
    </w:p>
    <w:p>
      <w:pPr>
        <w:spacing w:before="75" w:after="0"/>
      </w:pPr>
      <w:r>
        <w:rPr>
          <w:b w:val="1"/>
          <w:bCs w:val="1"/>
        </w:rPr>
        <w:t xml:space="preserve">第九章 行业竞争格局与市场份额分布</w:t>
      </w:r>
    </w:p>
    <w:p>
      <w:pPr>
        <w:spacing w:before="75" w:after="0"/>
      </w:pPr>
      <w:r>
        <w:rPr/>
        <w:t xml:space="preserve">第一节 市场集中度分析</w:t>
      </w:r>
    </w:p>
    <w:p>
      <w:pPr>
        <w:spacing w:before="75" w:after="0"/>
      </w:pPr>
      <w:r>
        <w:rPr/>
        <w:t xml:space="preserve">一、cr5与cr10市场份额测算</w:t>
      </w:r>
    </w:p>
    <w:p>
      <w:pPr>
        <w:spacing w:before="75" w:after="0"/>
      </w:pPr>
      <w:r>
        <w:rPr/>
        <w:t xml:space="preserve">二、技术壁垒与头部机构规模门槛</w:t>
      </w:r>
    </w:p>
    <w:p>
      <w:pPr>
        <w:spacing w:before="75" w:after="0"/>
      </w:pPr>
      <w:r>
        <w:rPr/>
        <w:t xml:space="preserve">三、并购重组活跃度评估</w:t>
      </w:r>
    </w:p>
    <w:p>
      <w:pPr>
        <w:spacing w:before="75" w:after="0"/>
      </w:pPr>
      <w:r>
        <w:rPr/>
        <w:t xml:space="preserve">四、潜在进入者威胁模型</w:t>
      </w:r>
    </w:p>
    <w:p>
      <w:pPr>
        <w:spacing w:before="75" w:after="0"/>
      </w:pPr>
      <w:r>
        <w:rPr/>
        <w:t xml:space="preserve">第二节 竞争梯队划分</w:t>
      </w:r>
    </w:p>
    <w:p>
      <w:pPr>
        <w:spacing w:before="75" w:after="0"/>
      </w:pPr>
      <w:r>
        <w:rPr/>
        <w:t xml:space="preserve">一、第一梯队机构技术能力评估</w:t>
      </w:r>
    </w:p>
    <w:p>
      <w:pPr>
        <w:spacing w:before="75" w:after="0"/>
      </w:pPr>
      <w:r>
        <w:rPr/>
        <w:t xml:space="preserve">二、第二梯队机构区域渗透率</w:t>
      </w:r>
    </w:p>
    <w:p>
      <w:pPr>
        <w:spacing w:before="75" w:after="0"/>
      </w:pPr>
      <w:r>
        <w:rPr/>
        <w:t xml:space="preserve">三、第三梯队机构差异化生存策略</w:t>
      </w:r>
    </w:p>
    <w:p>
      <w:pPr>
        <w:spacing w:before="75" w:after="0"/>
      </w:pPr>
      <w:r>
        <w:rPr/>
        <w:t xml:space="preserve">四、新进入者创新切入点</w:t>
      </w:r>
    </w:p>
    <w:p>
      <w:pPr>
        <w:spacing w:before="75" w:after="0"/>
      </w:pPr>
      <w:r>
        <w:rPr/>
        <w:t xml:space="preserve">第三节 核心竞争力要素权重</w:t>
      </w:r>
    </w:p>
    <w:p>
      <w:pPr>
        <w:spacing w:before="75" w:after="0"/>
      </w:pPr>
      <w:r>
        <w:rPr/>
        <w:t xml:space="preserve">一、ai模型准确率与迭代速度</w:t>
      </w:r>
    </w:p>
    <w:p>
      <w:pPr>
        <w:spacing w:before="75" w:after="0"/>
      </w:pPr>
      <w:r>
        <w:rPr/>
        <w:t xml:space="preserve">二、合规管理能力与认证等级</w:t>
      </w:r>
    </w:p>
    <w:p>
      <w:pPr>
        <w:spacing w:before="75" w:after="0"/>
      </w:pPr>
      <w:r>
        <w:rPr/>
        <w:t xml:space="preserve">三、金融机构客户资源深度</w:t>
      </w:r>
    </w:p>
    <w:p>
      <w:pPr>
        <w:spacing w:before="75" w:after="0"/>
      </w:pPr>
      <w:r>
        <w:rPr/>
        <w:t xml:space="preserve">四、数据资产规模与质量</w:t>
      </w:r>
    </w:p>
    <w:p>
      <w:pPr>
        <w:spacing w:before="75" w:after="0"/>
      </w:pPr>
      <w:r>
        <w:rPr>
          <w:b w:val="1"/>
          <w:bCs w:val="1"/>
        </w:rPr>
        <w:t xml:space="preserve">第十章 区域市场发展差异化分析</w:t>
      </w:r>
    </w:p>
    <w:p>
      <w:pPr>
        <w:spacing w:before="75" w:after="0"/>
      </w:pPr>
      <w:r>
        <w:rPr/>
        <w:t xml:space="preserve">第一节 长三角地区</w:t>
      </w:r>
    </w:p>
    <w:p>
      <w:pPr>
        <w:spacing w:before="75" w:after="0"/>
      </w:pPr>
      <w:r>
        <w:rPr/>
        <w:t xml:space="preserve">一、信贷市场规模与不良资产生成率</w:t>
      </w:r>
    </w:p>
    <w:p>
      <w:pPr>
        <w:spacing w:before="75" w:after="0"/>
      </w:pPr>
      <w:r>
        <w:rPr/>
        <w:t xml:space="preserve">二、数字基础设施支撑能力</w:t>
      </w:r>
    </w:p>
    <w:p>
      <w:pPr>
        <w:spacing w:before="75" w:after="0"/>
      </w:pPr>
      <w:r>
        <w:rPr/>
        <w:t xml:space="preserve">三、技术驱动型机构集聚度</w:t>
      </w:r>
    </w:p>
    <w:p>
      <w:pPr>
        <w:spacing w:before="75" w:after="0"/>
      </w:pPr>
      <w:r>
        <w:rPr/>
        <w:t xml:space="preserve">四、绿色金融政策支持强度</w:t>
      </w:r>
    </w:p>
    <w:p>
      <w:pPr>
        <w:spacing w:before="75" w:after="0"/>
      </w:pPr>
      <w:r>
        <w:rPr/>
        <w:t xml:space="preserve">第二节 粤港澳大湾区</w:t>
      </w:r>
    </w:p>
    <w:p>
      <w:pPr>
        <w:spacing w:before="75" w:after="0"/>
      </w:pPr>
      <w:r>
        <w:rPr/>
        <w:t xml:space="preserve">一、跨境金融业务催收需求规模</w:t>
      </w:r>
    </w:p>
    <w:p>
      <w:pPr>
        <w:spacing w:before="75" w:after="0"/>
      </w:pPr>
      <w:r>
        <w:rPr/>
        <w:t xml:space="preserve">二、金融科技应用领先水平</w:t>
      </w:r>
    </w:p>
    <w:p>
      <w:pPr>
        <w:spacing w:before="75" w:after="0"/>
      </w:pPr>
      <w:r>
        <w:rPr/>
        <w:t xml:space="preserve">三、司法电子化程度与执行效率</w:t>
      </w:r>
    </w:p>
    <w:p>
      <w:pPr>
        <w:spacing w:before="75" w:after="0"/>
      </w:pPr>
      <w:r>
        <w:rPr/>
        <w:t xml:space="preserve">四、港澳地区业务协同机制</w:t>
      </w:r>
    </w:p>
    <w:p>
      <w:pPr>
        <w:spacing w:before="75" w:after="0"/>
      </w:pPr>
      <w:r>
        <w:rPr/>
        <w:t xml:space="preserve">第三节 京津冀地区</w:t>
      </w:r>
    </w:p>
    <w:p>
      <w:pPr>
        <w:spacing w:before="75" w:after="0"/>
      </w:pPr>
      <w:r>
        <w:rPr/>
        <w:t xml:space="preserve">一、总部经济与机构集聚效应</w:t>
      </w:r>
    </w:p>
    <w:p>
      <w:pPr>
        <w:spacing w:before="75" w:after="0"/>
      </w:pPr>
      <w:r>
        <w:rPr/>
        <w:t xml:space="preserve">二、监管科技先行先试优势</w:t>
      </w:r>
    </w:p>
    <w:p>
      <w:pPr>
        <w:spacing w:before="75" w:after="0"/>
      </w:pPr>
      <w:r>
        <w:rPr/>
        <w:t xml:space="preserve">三、碳中和目标下绿色转型压力</w:t>
      </w:r>
    </w:p>
    <w:p>
      <w:pPr>
        <w:spacing w:before="75" w:after="0"/>
      </w:pPr>
      <w:r>
        <w:rPr/>
        <w:t xml:space="preserve">四、司法资源协调机制</w:t>
      </w:r>
    </w:p>
    <w:p>
      <w:pPr>
        <w:spacing w:before="75" w:after="0"/>
      </w:pPr>
      <w:r>
        <w:rPr/>
        <w:t xml:space="preserve">第四节 成渝地区双城经济圈</w:t>
      </w:r>
    </w:p>
    <w:p>
      <w:pPr>
        <w:spacing w:before="75" w:after="0"/>
      </w:pPr>
      <w:r>
        <w:rPr/>
        <w:t xml:space="preserve">一、西部金融中心建设带动效应</w:t>
      </w:r>
    </w:p>
    <w:p>
      <w:pPr>
        <w:spacing w:before="75" w:after="0"/>
      </w:pPr>
      <w:r>
        <w:rPr/>
        <w:t xml:space="preserve">二、地方性金融机构不良处置需求</w:t>
      </w:r>
    </w:p>
    <w:p>
      <w:pPr>
        <w:spacing w:before="75" w:after="0"/>
      </w:pPr>
      <w:r>
        <w:rPr/>
        <w:t xml:space="preserve">三、市场成熟度与成本优势</w:t>
      </w:r>
    </w:p>
    <w:p>
      <w:pPr>
        <w:spacing w:before="75" w:after="0"/>
      </w:pPr>
      <w:r>
        <w:rPr/>
        <w:t xml:space="preserve">四、技术人才供给能力</w:t>
      </w:r>
    </w:p>
    <w:p>
      <w:pPr>
        <w:spacing w:before="75" w:after="0"/>
      </w:pPr>
      <w:r>
        <w:rPr>
          <w:b w:val="1"/>
          <w:bCs w:val="1"/>
        </w:rPr>
        <w:t xml:space="preserve">第十一章 行业风险因素识别与评估</w:t>
      </w:r>
    </w:p>
    <w:p>
      <w:pPr>
        <w:spacing w:before="75" w:after="0"/>
      </w:pPr>
      <w:r>
        <w:rPr/>
        <w:t xml:space="preserve">第一节 法律合规风险</w:t>
      </w:r>
    </w:p>
    <w:p>
      <w:pPr>
        <w:spacing w:before="75" w:after="0"/>
      </w:pPr>
      <w:r>
        <w:rPr/>
        <w:t xml:space="preserve">一、个人信息保护违规成本量化</w:t>
      </w:r>
    </w:p>
    <w:p>
      <w:pPr>
        <w:spacing w:before="75" w:after="0"/>
      </w:pPr>
      <w:r>
        <w:rPr/>
        <w:t xml:space="preserve">二、催收行为规范边界动态调整</w:t>
      </w:r>
    </w:p>
    <w:p>
      <w:pPr>
        <w:spacing w:before="75" w:after="0"/>
      </w:pPr>
      <w:r>
        <w:rPr/>
        <w:t xml:space="preserve">三、跨区域数据流动法律冲突</w:t>
      </w:r>
    </w:p>
    <w:p>
      <w:pPr>
        <w:spacing w:before="75" w:after="0"/>
      </w:pPr>
      <w:r>
        <w:rPr/>
        <w:t xml:space="preserve">四、算法歧视与公平性风险</w:t>
      </w:r>
    </w:p>
    <w:p>
      <w:pPr>
        <w:spacing w:before="75" w:after="0"/>
      </w:pPr>
      <w:r>
        <w:rPr/>
        <w:t xml:space="preserve">第二节 技术安全风险</w:t>
      </w:r>
    </w:p>
    <w:p>
      <w:pPr>
        <w:spacing w:before="75" w:after="0"/>
      </w:pPr>
      <w:r>
        <w:rPr/>
        <w:t xml:space="preserve">一、数据泄露与恶意攻击风险</w:t>
      </w:r>
    </w:p>
    <w:p>
      <w:pPr>
        <w:spacing w:before="75" w:after="0"/>
      </w:pPr>
      <w:r>
        <w:rPr/>
        <w:t xml:space="preserve">二、模型误判与决策失误风险</w:t>
      </w:r>
    </w:p>
    <w:p>
      <w:pPr>
        <w:spacing w:before="75" w:after="0"/>
      </w:pPr>
      <w:r>
        <w:rPr/>
        <w:t xml:space="preserve">三、系统稳定性与业务连续性风险</w:t>
      </w:r>
    </w:p>
    <w:p>
      <w:pPr>
        <w:spacing w:before="75" w:after="0"/>
      </w:pPr>
      <w:r>
        <w:rPr/>
        <w:t xml:space="preserve">四、技术迭代投资回报不确定性</w:t>
      </w:r>
    </w:p>
    <w:p>
      <w:pPr>
        <w:spacing w:before="75" w:after="0"/>
      </w:pPr>
      <w:r>
        <w:rPr/>
        <w:t xml:space="preserve">第三节 市场经营风险</w:t>
      </w:r>
    </w:p>
    <w:p>
      <w:pPr>
        <w:spacing w:before="75" w:after="0"/>
      </w:pPr>
      <w:r>
        <w:rPr/>
        <w:t xml:space="preserve">一、金融机构客户集中度过高风险</w:t>
      </w:r>
    </w:p>
    <w:p>
      <w:pPr>
        <w:spacing w:before="75" w:after="0"/>
      </w:pPr>
      <w:r>
        <w:rPr/>
        <w:t xml:space="preserve">二、回款率波动对盈利能力影响</w:t>
      </w:r>
    </w:p>
    <w:p>
      <w:pPr>
        <w:spacing w:before="75" w:after="0"/>
      </w:pPr>
      <w:r>
        <w:rPr/>
        <w:t xml:space="preserve">三、行业竞争加剧导致利润率下滑</w:t>
      </w:r>
    </w:p>
    <w:p>
      <w:pPr>
        <w:spacing w:before="75" w:after="0"/>
      </w:pPr>
      <w:r>
        <w:rPr/>
        <w:t xml:space="preserve">四、技术服务商依赖风险</w:t>
      </w:r>
    </w:p>
    <w:p>
      <w:pPr>
        <w:spacing w:before="75" w:after="0"/>
      </w:pPr>
      <w:r>
        <w:rPr/>
        <w:t xml:space="preserve">第四节 声誉与舆情风险</w:t>
      </w:r>
    </w:p>
    <w:p>
      <w:pPr>
        <w:spacing w:before="75" w:after="0"/>
      </w:pPr>
      <w:r>
        <w:rPr/>
        <w:t xml:space="preserve">一、社会负面认知对行业影响</w:t>
      </w:r>
    </w:p>
    <w:p>
      <w:pPr>
        <w:spacing w:before="75" w:after="0"/>
      </w:pPr>
      <w:r>
        <w:rPr/>
        <w:t xml:space="preserve">二、个别事件引发系统性风险概率</w:t>
      </w:r>
    </w:p>
    <w:p>
      <w:pPr>
        <w:spacing w:before="75" w:after="0"/>
      </w:pPr>
      <w:r>
        <w:rPr/>
        <w:t xml:space="preserve">三、从业人员职业认同感危机</w:t>
      </w:r>
    </w:p>
    <w:p>
      <w:pPr>
        <w:spacing w:before="75" w:after="0"/>
      </w:pPr>
      <w:r>
        <w:rPr/>
        <w:t xml:space="preserve">四、人才招聘难度与成本上升</w:t>
      </w:r>
    </w:p>
    <w:p>
      <w:pPr>
        <w:spacing w:before="75" w:after="0"/>
      </w:pPr>
      <w:r>
        <w:rPr>
          <w:b w:val="1"/>
          <w:bCs w:val="1"/>
        </w:rPr>
        <w:t xml:space="preserve">第十二章 2026-2031年绿色催收行业发展趋势前瞻</w:t>
      </w:r>
    </w:p>
    <w:p>
      <w:pPr>
        <w:spacing w:before="75" w:after="0"/>
      </w:pPr>
      <w:r>
        <w:rPr/>
        <w:t xml:space="preserve">第一节 市场规模增长趋势</w:t>
      </w:r>
    </w:p>
    <w:p>
      <w:pPr>
        <w:spacing w:before="75" w:after="0"/>
      </w:pPr>
      <w:r>
        <w:rPr/>
        <w:t xml:space="preserve">一、年均复合增长率预测区间</w:t>
      </w:r>
    </w:p>
    <w:p>
      <w:pPr>
        <w:spacing w:before="75" w:after="0"/>
      </w:pPr>
      <w:r>
        <w:rPr/>
        <w:t xml:space="preserve">二、峰值规模出现时间点判断</w:t>
      </w:r>
    </w:p>
    <w:p>
      <w:pPr>
        <w:spacing w:before="75" w:after="0"/>
      </w:pPr>
      <w:r>
        <w:rPr/>
        <w:t xml:space="preserve">三、技术驱动型市场增速</w:t>
      </w:r>
    </w:p>
    <w:p>
      <w:pPr>
        <w:spacing w:before="75" w:after="0"/>
      </w:pPr>
      <w:r>
        <w:rPr/>
        <w:t xml:space="preserve">四、绿色认证服务溢价提升空间</w:t>
      </w:r>
    </w:p>
    <w:p>
      <w:pPr>
        <w:spacing w:before="75" w:after="0"/>
      </w:pPr>
      <w:r>
        <w:rPr/>
        <w:t xml:space="preserve">第二节 技术演进路径</w:t>
      </w:r>
    </w:p>
    <w:p>
      <w:pPr>
        <w:spacing w:before="75" w:after="0"/>
      </w:pPr>
      <w:r>
        <w:rPr/>
        <w:t xml:space="preserve">一、生成式ai从辅助到自主决策</w:t>
      </w:r>
    </w:p>
    <w:p>
      <w:pPr>
        <w:spacing w:before="75" w:after="0"/>
      </w:pPr>
      <w:r>
        <w:rPr/>
        <w:t xml:space="preserve">二、联邦学习实现跨机构协作</w:t>
      </w:r>
    </w:p>
    <w:p>
      <w:pPr>
        <w:spacing w:before="75" w:after="0"/>
      </w:pPr>
      <w:r>
        <w:rPr/>
        <w:t xml:space="preserve">三、数字孪生技术模拟催收策略</w:t>
      </w:r>
    </w:p>
    <w:p>
      <w:pPr>
        <w:spacing w:before="75" w:after="0"/>
      </w:pPr>
      <w:r>
        <w:rPr/>
        <w:t xml:space="preserve">四、量子计算优化复杂模型潜力</w:t>
      </w:r>
    </w:p>
    <w:p>
      <w:pPr>
        <w:spacing w:before="75" w:after="0"/>
      </w:pPr>
      <w:r>
        <w:rPr/>
        <w:t xml:space="preserve">第三节 业务模式转型方向</w:t>
      </w:r>
    </w:p>
    <w:p>
      <w:pPr>
        <w:spacing w:before="75" w:after="0"/>
      </w:pPr>
      <w:r>
        <w:rPr/>
        <w:t xml:space="preserve">一、从单一催收到综合资产管理</w:t>
      </w:r>
    </w:p>
    <w:p>
      <w:pPr>
        <w:spacing w:before="75" w:after="0"/>
      </w:pPr>
      <w:r>
        <w:rPr/>
        <w:t xml:space="preserve">二、从人力密集到技术密集</w:t>
      </w:r>
    </w:p>
    <w:p>
      <w:pPr>
        <w:spacing w:before="75" w:after="0"/>
      </w:pPr>
      <w:r>
        <w:rPr/>
        <w:t xml:space="preserve">三、从线下为主到线上线下融合</w:t>
      </w:r>
    </w:p>
    <w:p>
      <w:pPr>
        <w:spacing w:before="75" w:after="0"/>
      </w:pPr>
      <w:r>
        <w:rPr/>
        <w:t xml:space="preserve">四、从债权追收到信用生态服务</w:t>
      </w:r>
    </w:p>
    <w:p>
      <w:pPr>
        <w:spacing w:before="75" w:after="0"/>
      </w:pPr>
      <w:r>
        <w:rPr/>
        <w:t xml:space="preserve">第四节 监管与标准完善趋势</w:t>
      </w:r>
    </w:p>
    <w:p>
      <w:pPr>
        <w:spacing w:before="75" w:after="0"/>
      </w:pPr>
      <w:r>
        <w:rPr/>
        <w:t xml:space="preserve">一、行业准入门槛提升方向</w:t>
      </w:r>
    </w:p>
    <w:p>
      <w:pPr>
        <w:spacing w:before="75" w:after="0"/>
      </w:pPr>
      <w:r>
        <w:rPr/>
        <w:t xml:space="preserve">二、从业人员资格认证体系建立</w:t>
      </w:r>
    </w:p>
    <w:p>
      <w:pPr>
        <w:spacing w:before="75" w:after="0"/>
      </w:pPr>
      <w:r>
        <w:rPr/>
        <w:t xml:space="preserve">三、催收行为绿色标准指引出台</w:t>
      </w:r>
    </w:p>
    <w:p>
      <w:pPr>
        <w:spacing w:before="75" w:after="0"/>
      </w:pPr>
      <w:r>
        <w:rPr/>
        <w:t xml:space="preserve">四、esg信息披露要求强化</w:t>
      </w:r>
    </w:p>
    <w:p>
      <w:pPr>
        <w:spacing w:before="75" w:after="0"/>
      </w:pPr>
      <w:r>
        <w:rPr>
          <w:b w:val="1"/>
          <w:bCs w:val="1"/>
        </w:rPr>
        <w:t xml:space="preserve">第十三章 投资价值与机会分析</w:t>
      </w:r>
    </w:p>
    <w:p>
      <w:pPr>
        <w:spacing w:before="75" w:after="0"/>
      </w:pPr>
      <w:r>
        <w:rPr/>
        <w:t xml:space="preserve">第一节 行业投资吸引力评估</w:t>
      </w:r>
    </w:p>
    <w:p>
      <w:pPr>
        <w:spacing w:before="75" w:after="0"/>
      </w:pPr>
      <w:r>
        <w:rPr/>
        <w:t xml:space="preserve">一、市场规模增长空间评分</w:t>
      </w:r>
    </w:p>
    <w:p>
      <w:pPr>
        <w:spacing w:before="75" w:after="0"/>
      </w:pPr>
      <w:r>
        <w:rPr/>
        <w:t xml:space="preserve">二、技术壁垒与护城河深度</w:t>
      </w:r>
    </w:p>
    <w:p>
      <w:pPr>
        <w:spacing w:before="75" w:after="0"/>
      </w:pPr>
      <w:r>
        <w:rPr/>
        <w:t xml:space="preserve">三、政策风险综合评级</w:t>
      </w:r>
    </w:p>
    <w:p>
      <w:pPr>
        <w:spacing w:before="75" w:after="0"/>
      </w:pPr>
      <w:r>
        <w:rPr/>
        <w:t xml:space="preserve">四、盈利模式稳定性分析</w:t>
      </w:r>
    </w:p>
    <w:p>
      <w:pPr>
        <w:spacing w:before="75" w:after="0"/>
      </w:pPr>
      <w:r>
        <w:rPr/>
        <w:t xml:space="preserve">第二节 重点投资方向识别</w:t>
      </w:r>
    </w:p>
    <w:p>
      <w:pPr>
        <w:spacing w:before="75" w:after="0"/>
      </w:pPr>
      <w:r>
        <w:rPr/>
        <w:t xml:space="preserve">一、垂直细分领域龙头机构</w:t>
      </w:r>
    </w:p>
    <w:p>
      <w:pPr>
        <w:spacing w:before="75" w:after="0"/>
      </w:pPr>
      <w:r>
        <w:rPr/>
        <w:t xml:space="preserve">二、技术创新型初创企业</w:t>
      </w:r>
    </w:p>
    <w:p>
      <w:pPr>
        <w:spacing w:before="75" w:after="0"/>
      </w:pPr>
      <w:r>
        <w:rPr/>
        <w:t xml:space="preserve">三、区域市场整合机会</w:t>
      </w:r>
    </w:p>
    <w:p>
      <w:pPr>
        <w:spacing w:before="75" w:after="0"/>
      </w:pPr>
      <w:r>
        <w:rPr/>
        <w:t xml:space="preserve">四、产业链上下游协同投资点</w:t>
      </w:r>
    </w:p>
    <w:p>
      <w:pPr>
        <w:spacing w:before="75" w:after="0"/>
      </w:pPr>
      <w:r>
        <w:rPr/>
        <w:t xml:space="preserve">第三节 投资回报模型测算</w:t>
      </w:r>
    </w:p>
    <w:p>
      <w:pPr>
        <w:spacing w:before="75" w:after="0"/>
      </w:pPr>
      <w:r>
        <w:rPr/>
        <w:t xml:space="preserve">一、单体项目irr基准水平</w:t>
      </w:r>
    </w:p>
    <w:p>
      <w:pPr>
        <w:spacing w:before="75" w:after="0"/>
      </w:pPr>
      <w:r>
        <w:rPr/>
        <w:t xml:space="preserve">二、行业平均估值倍数区间</w:t>
      </w:r>
    </w:p>
    <w:p>
      <w:pPr>
        <w:spacing w:before="75" w:after="0"/>
      </w:pPr>
      <w:r>
        <w:rPr/>
        <w:t xml:space="preserve">三、投资回报周期预测</w:t>
      </w:r>
    </w:p>
    <w:p>
      <w:pPr>
        <w:spacing w:before="75" w:after="0"/>
      </w:pPr>
      <w:r>
        <w:rPr/>
        <w:t xml:space="preserve">四、退出渠道通畅性评估</w:t>
      </w:r>
    </w:p>
    <w:p>
      <w:pPr>
        <w:spacing w:before="75" w:after="0"/>
      </w:pPr>
      <w:r>
        <w:rPr>
          <w:b w:val="1"/>
          <w:bCs w:val="1"/>
        </w:rPr>
        <w:t xml:space="preserve">第十四章 专业人才队伍建设规划</w:t>
      </w:r>
    </w:p>
    <w:p>
      <w:pPr>
        <w:spacing w:before="75" w:after="0"/>
      </w:pPr>
      <w:r>
        <w:rPr/>
        <w:t xml:space="preserve">第一节 人才需求结构演变</w:t>
      </w:r>
    </w:p>
    <w:p>
      <w:pPr>
        <w:spacing w:before="75" w:after="0"/>
      </w:pPr>
      <w:r>
        <w:rPr/>
        <w:t xml:space="preserve">一、技术人员需求占比预测</w:t>
      </w:r>
    </w:p>
    <w:p>
      <w:pPr>
        <w:spacing w:before="75" w:after="0"/>
      </w:pPr>
      <w:r>
        <w:rPr/>
        <w:t xml:space="preserve">二、合规管理人员配置标准</w:t>
      </w:r>
    </w:p>
    <w:p>
      <w:pPr>
        <w:spacing w:before="75" w:after="0"/>
      </w:pPr>
      <w:r>
        <w:rPr/>
        <w:t xml:space="preserve">三、数据分析师岗位增长</w:t>
      </w:r>
    </w:p>
    <w:p>
      <w:pPr>
        <w:spacing w:before="75" w:after="0"/>
      </w:pPr>
      <w:r>
        <w:rPr/>
        <w:t xml:space="preserve">四、传统催收人员转型路径</w:t>
      </w:r>
    </w:p>
    <w:p>
      <w:pPr>
        <w:spacing w:before="75" w:after="0"/>
      </w:pPr>
      <w:r>
        <w:rPr/>
        <w:t xml:space="preserve">第二节 人才培养体系构建</w:t>
      </w:r>
    </w:p>
    <w:p>
      <w:pPr>
        <w:spacing w:before="75" w:after="0"/>
      </w:pPr>
      <w:r>
        <w:rPr/>
        <w:t xml:space="preserve">一、高校合作开设专业方向</w:t>
      </w:r>
    </w:p>
    <w:p>
      <w:pPr>
        <w:spacing w:before="75" w:after="0"/>
      </w:pPr>
      <w:r>
        <w:rPr/>
        <w:t xml:space="preserve">二、企业内部培训体系标准</w:t>
      </w:r>
    </w:p>
    <w:p>
      <w:pPr>
        <w:spacing w:before="75" w:after="0"/>
      </w:pPr>
      <w:r>
        <w:rPr/>
        <w:t xml:space="preserve">三、行业认证课程开发</w:t>
      </w:r>
    </w:p>
    <w:p>
      <w:pPr>
        <w:spacing w:before="75" w:after="0"/>
      </w:pPr>
      <w:r>
        <w:rPr/>
        <w:t xml:space="preserve">四、实训基地建设模式</w:t>
      </w:r>
    </w:p>
    <w:p>
      <w:pPr>
        <w:spacing w:before="75" w:after="0"/>
      </w:pPr>
      <w:r>
        <w:rPr/>
        <w:t xml:space="preserve">第三节 人才激励与留存机制</w:t>
      </w:r>
    </w:p>
    <w:p>
      <w:pPr>
        <w:spacing w:before="75" w:after="0"/>
      </w:pPr>
      <w:r>
        <w:rPr/>
        <w:t xml:space="preserve">一、薪酬水平调整趋势</w:t>
      </w:r>
    </w:p>
    <w:p>
      <w:pPr>
        <w:spacing w:before="75" w:after="0"/>
      </w:pPr>
      <w:r>
        <w:rPr/>
        <w:t xml:space="preserve">二、职业发展通道设计</w:t>
      </w:r>
    </w:p>
    <w:p>
      <w:pPr>
        <w:spacing w:before="75" w:after="0"/>
      </w:pPr>
      <w:r>
        <w:rPr/>
        <w:t xml:space="preserve">三、合规压力下的激励平衡</w:t>
      </w:r>
    </w:p>
    <w:p>
      <w:pPr>
        <w:spacing w:before="75" w:after="0"/>
      </w:pPr>
      <w:r>
        <w:rPr/>
        <w:t xml:space="preserve">四、行业人才流动特征</w:t>
      </w:r>
    </w:p>
    <w:p>
      <w:pPr>
        <w:spacing w:before="75" w:after="0"/>
      </w:pPr>
      <w:r>
        <w:rPr>
          <w:b w:val="1"/>
          <w:bCs w:val="1"/>
        </w:rPr>
        <w:t xml:space="preserve">第十五章 行业可持续发展策略建议</w:t>
      </w:r>
    </w:p>
    <w:p>
      <w:pPr>
        <w:spacing w:before="75" w:after="0"/>
      </w:pPr>
      <w:r>
        <w:rPr/>
        <w:t xml:space="preserve">第一节 企业层面发展策略</w:t>
      </w:r>
    </w:p>
    <w:p>
      <w:pPr>
        <w:spacing w:before="75" w:after="0"/>
      </w:pPr>
      <w:r>
        <w:rPr/>
        <w:t xml:space="preserve">一、技术投入占比建议区间</w:t>
      </w:r>
    </w:p>
    <w:p>
      <w:pPr>
        <w:spacing w:before="75" w:after="0"/>
      </w:pPr>
      <w:r>
        <w:rPr/>
        <w:t xml:space="preserve">二、合规管理体系建设要点</w:t>
      </w:r>
    </w:p>
    <w:p>
      <w:pPr>
        <w:spacing w:before="75" w:after="0"/>
      </w:pPr>
      <w:r>
        <w:rPr/>
        <w:t xml:space="preserve">三、esg评级提升路径</w:t>
      </w:r>
    </w:p>
    <w:p>
      <w:pPr>
        <w:spacing w:before="75" w:after="0"/>
      </w:pPr>
      <w:r>
        <w:rPr/>
        <w:t xml:space="preserve">四、碳足迹核算与减排目标</w:t>
      </w:r>
    </w:p>
    <w:p>
      <w:pPr>
        <w:spacing w:before="75" w:after="0"/>
      </w:pPr>
      <w:r>
        <w:rPr/>
        <w:t xml:space="preserve">第二节 行业层面协同建议</w:t>
      </w:r>
    </w:p>
    <w:p>
      <w:pPr>
        <w:spacing w:before="75" w:after="0"/>
      </w:pPr>
      <w:r>
        <w:rPr/>
        <w:t xml:space="preserve">一、自律公约与绿色行为准则完善</w:t>
      </w:r>
    </w:p>
    <w:p>
      <w:pPr>
        <w:spacing w:before="75" w:after="0"/>
      </w:pPr>
      <w:r>
        <w:rPr/>
        <w:t xml:space="preserve">二、信息共享与黑名单机制建设</w:t>
      </w:r>
    </w:p>
    <w:p>
      <w:pPr>
        <w:spacing w:before="75" w:after="0"/>
      </w:pPr>
      <w:r>
        <w:rPr/>
        <w:t xml:space="preserve">三、技术标准与接口规范统一</w:t>
      </w:r>
    </w:p>
    <w:p>
      <w:pPr>
        <w:spacing w:before="75" w:after="0"/>
      </w:pPr>
      <w:r>
        <w:rPr/>
        <w:t xml:space="preserve">四、行业esg信息披露框架</w:t>
      </w:r>
    </w:p>
    <w:p>
      <w:pPr>
        <w:spacing w:before="75" w:after="0"/>
      </w:pPr>
      <w:r>
        <w:rPr/>
        <w:t xml:space="preserve">第三节 可持续发展评价指标</w:t>
      </w:r>
    </w:p>
    <w:p>
      <w:pPr>
        <w:spacing w:before="75" w:after="0"/>
      </w:pPr>
      <w:r>
        <w:rPr/>
        <w:t xml:space="preserve">一、合规回收率基准值设定</w:t>
      </w:r>
    </w:p>
    <w:p>
      <w:pPr>
        <w:spacing w:before="75" w:after="0"/>
      </w:pPr>
      <w:r>
        <w:rPr/>
        <w:t xml:space="preserve">二、技术渗透率提升目标</w:t>
      </w:r>
    </w:p>
    <w:p>
      <w:pPr>
        <w:spacing w:before="75" w:after="0"/>
      </w:pPr>
      <w:r>
        <w:rPr/>
        <w:t xml:space="preserve">三、客户满意度与投诉率控制</w:t>
      </w:r>
    </w:p>
    <w:p>
      <w:pPr>
        <w:spacing w:before="75" w:after="0"/>
      </w:pPr>
      <w:r>
        <w:rPr/>
        <w:t xml:space="preserve">四、从业人员职业健康度指标</w:t>
      </w:r>
    </w:p>
    <w:p>
      <w:pPr>
        <w:spacing w:before="75" w:after="0"/>
      </w:pPr>
      <w:r>
        <w:rPr>
          <w:b w:val="1"/>
          <w:bCs w:val="1"/>
        </w:rPr>
        <w:t xml:space="preserve">第十六章 研究结论与展望</w:t>
      </w:r>
    </w:p>
    <w:p>
      <w:pPr>
        <w:spacing w:before="75" w:after="0"/>
      </w:pPr>
      <w:r>
        <w:rPr/>
        <w:t xml:space="preserve">第一节 核心研究发现</w:t>
      </w:r>
    </w:p>
    <w:p>
      <w:pPr>
        <w:spacing w:before="75" w:after="0"/>
      </w:pPr>
      <w:r>
        <w:rPr/>
        <w:t xml:space="preserve">一、市场规模增长确定性判断</w:t>
      </w:r>
    </w:p>
    <w:p>
      <w:pPr>
        <w:spacing w:before="75" w:after="0"/>
      </w:pPr>
      <w:r>
        <w:rPr/>
        <w:t xml:space="preserve">二、技术驱动转型必要性结论</w:t>
      </w:r>
    </w:p>
    <w:p>
      <w:pPr>
        <w:spacing w:before="75" w:after="0"/>
      </w:pPr>
      <w:r>
        <w:rPr/>
        <w:t xml:space="preserve">三、合规经营底线要求</w:t>
      </w:r>
    </w:p>
    <w:p>
      <w:pPr>
        <w:spacing w:before="75" w:after="0"/>
      </w:pPr>
      <w:r>
        <w:rPr/>
        <w:t xml:space="preserve">四、区域市场差异化机遇</w:t>
      </w:r>
    </w:p>
    <w:p>
      <w:pPr>
        <w:spacing w:before="75" w:after="0"/>
      </w:pPr>
      <w:r>
        <w:rPr/>
        <w:t xml:space="preserve">第二节 中长期发展展望</w:t>
      </w:r>
    </w:p>
    <w:p>
      <w:pPr>
        <w:spacing w:before="75" w:after="0"/>
      </w:pPr>
      <w:r>
        <w:rPr/>
        <w:t xml:space="preserve">一、2030年行业成熟度评估</w:t>
      </w:r>
    </w:p>
    <w:p>
      <w:pPr>
        <w:spacing w:before="75" w:after="0"/>
      </w:pPr>
      <w:r>
        <w:rPr/>
        <w:t xml:space="preserve">二、与发达国家技术差距比较</w:t>
      </w:r>
    </w:p>
    <w:p>
      <w:pPr>
        <w:spacing w:before="75" w:after="0"/>
      </w:pPr>
      <w:r>
        <w:rPr/>
        <w:t xml:space="preserve">三、新兴技术融合深度预测</w:t>
      </w:r>
    </w:p>
    <w:p>
      <w:pPr>
        <w:spacing w:before="75" w:after="0"/>
      </w:pPr>
      <w:r>
        <w:rPr/>
        <w:t xml:space="preserve">四、行业社会地位提升路径</w:t>
      </w:r>
    </w:p>
    <w:p>
      <w:pPr>
        <w:spacing w:before="75" w:after="0"/>
      </w:pPr>
      <w:r>
        <w:rPr>
          <w:b w:val="1"/>
          <w:bCs w:val="1"/>
        </w:rPr>
        <w:t xml:space="preserve">图表目录</w:t>
      </w:r>
    </w:p>
    <w:p>
      <w:pPr>
        <w:spacing w:before="75" w:after="0"/>
      </w:pPr>
      <w:r>
        <w:rPr/>
        <w:t xml:space="preserve">图表：2026-2031年中国金融机构不良贷款余额预测趋势</w:t>
      </w:r>
    </w:p>
    <w:p>
      <w:pPr>
        <w:spacing w:before="75" w:after="0"/>
      </w:pPr>
      <w:r>
        <w:rPr/>
        <w:t xml:space="preserve">图表：2026-2031年中国绿色催收行业市场规模及增速预测</w:t>
      </w:r>
    </w:p>
    <w:p>
      <w:pPr>
        <w:spacing w:before="75" w:after="0"/>
      </w:pPr>
      <w:r>
        <w:rPr/>
        <w:t xml:space="preserve">图表：2025年中国催收行业业务模式结构</w:t>
      </w:r>
    </w:p>
    <w:p>
      <w:pPr>
        <w:spacing w:before="75" w:after="0"/>
      </w:pPr>
      <w:r>
        <w:rPr/>
        <w:t xml:space="preserve">图表：2025年中国绿色催收技术渗透率对比</w:t>
      </w:r>
    </w:p>
    <w:p>
      <w:pPr>
        <w:spacing w:before="75" w:after="0"/>
      </w:pPr>
      <w:r>
        <w:rPr/>
        <w:t xml:space="preserve">图表：智能催收系统平均回收率提升幅度对比</w:t>
      </w:r>
    </w:p>
    <w:p>
      <w:pPr>
        <w:spacing w:before="75" w:after="0"/>
      </w:pPr>
      <w:r>
        <w:rPr/>
        <w:t xml:space="preserve">图表：ai催收客户投诉率下降水平统计</w:t>
      </w:r>
    </w:p>
    <w:p>
      <w:pPr>
        <w:spacing w:before="75" w:after="0"/>
      </w:pPr>
      <w:r>
        <w:rPr/>
        <w:t xml:space="preserve">图表：2026-2031年绿色催收行业从业人员结构变化预测</w:t>
      </w:r>
    </w:p>
    <w:p>
      <w:pPr>
        <w:spacing w:before="75" w:after="0"/>
      </w:pPr>
      <w:r>
        <w:rPr/>
        <w:t xml:space="preserve">图表：行业市场集中度cr5变化趋势</w:t>
      </w:r>
    </w:p>
    <w:p>
      <w:pPr>
        <w:spacing w:before="75" w:after="0"/>
      </w:pPr>
      <w:r>
        <w:rPr/>
        <w:t xml:space="preserve">图表：主要细分领域市场规模增速对比</w:t>
      </w:r>
    </w:p>
    <w:p>
      <w:pPr>
        <w:spacing w:before="75" w:after="0"/>
      </w:pPr>
      <w:r>
        <w:rPr/>
        <w:t xml:space="preserve">图表：重点城市群绿色催收业务规模对比</w:t>
      </w:r>
    </w:p>
    <w:p>
      <w:pPr>
        <w:spacing w:before="75" w:after="0"/>
      </w:pPr>
      <w:r>
        <w:rPr/>
        <w:t xml:space="preserve">图表：技术投入产出效益评估</w:t>
      </w:r>
    </w:p>
    <w:p>
      <w:pPr>
        <w:spacing w:before="75" w:after="0"/>
      </w:pPr>
      <w:r>
        <w:rPr/>
        <w:t xml:space="preserve">图表：合规成本占比变化趋势</w:t>
      </w:r>
    </w:p>
    <w:p>
      <w:pPr>
        <w:spacing w:before="75" w:after="0"/>
      </w:pPr>
      <w:r>
        <w:rPr/>
        <w:t xml:space="preserve">图表：ai语音机器人准确率提升曲线</w:t>
      </w:r>
    </w:p>
    <w:p>
      <w:pPr>
        <w:spacing w:before="75" w:after="0"/>
      </w:pPr>
      <w:r>
        <w:rPr/>
        <w:t xml:space="preserve">图表：行业平均碳足迹减量趋势</w:t>
      </w:r>
    </w:p>
    <w:p>
      <w:pPr>
        <w:spacing w:before="75" w:after="0"/>
      </w:pPr>
      <w:r>
        <w:rPr/>
        <w:t xml:space="preserve">图表：投资回报周期与irr预测区间</w:t>
      </w:r>
    </w:p>
    <w:p>
      <w:pPr>
        <w:spacing w:before="75" w:after="0"/>
      </w:pPr>
      <w:r>
        <w:rPr/>
        <w:t xml:space="preserve">图表：2025年中国绿色催收行业核心运营指标统计</w:t>
      </w:r>
    </w:p>
    <w:p>
      <w:pPr>
        <w:spacing w:before="75" w:after="0"/>
      </w:pPr>
      <w:r>
        <w:rPr/>
        <w:t xml:space="preserve">图表：2026-2031年中国绿色催收行业市场规模预测</w:t>
      </w:r>
    </w:p>
    <w:p>
      <w:pPr>
        <w:spacing w:before="75" w:after="0"/>
      </w:pPr>
      <w:r>
        <w:rPr/>
        <w:t xml:space="preserve">图表：2026-2031年细分市场容量结构预测</w:t>
      </w:r>
    </w:p>
    <w:p>
      <w:pPr>
        <w:spacing w:before="75" w:after="0"/>
      </w:pPr>
      <w:r>
        <w:rPr/>
        <w:t xml:space="preserve">图表：区域市场发展潜力评估</w:t>
      </w:r>
    </w:p>
    <w:p>
      <w:pPr>
        <w:spacing w:before="75" w:after="0"/>
      </w:pPr>
      <w:r>
        <w:rPr/>
        <w:t xml:space="preserve">图表：核心支撑技术成熟度评估</w:t>
      </w:r>
    </w:p>
    <w:p>
      <w:pPr>
        <w:spacing w:before="75" w:after="0"/>
      </w:pPr>
      <w:r>
        <w:rPr/>
        <w:t xml:space="preserve">图表：行业竞争梯队划分与特征</w:t>
      </w:r>
    </w:p>
    <w:p>
      <w:pPr>
        <w:spacing w:before="75" w:after="0"/>
      </w:pPr>
      <w:r>
        <w:rPr/>
        <w:t xml:space="preserve">图表：主要风险因素权重与应对策略</w:t>
      </w:r>
    </w:p>
    <w:p>
      <w:pPr>
        <w:spacing w:before="75" w:after="0"/>
      </w:pPr>
      <w:r>
        <w:rPr/>
        <w:t xml:space="preserve">图表：技术应用场景覆盖率统计</w:t>
      </w:r>
    </w:p>
    <w:p>
      <w:pPr>
        <w:spacing w:before="75" w:after="0"/>
      </w:pPr>
      <w:r>
        <w:rPr/>
        <w:t xml:space="preserve">图表：从业人员能力要求与薪酬水平</w:t>
      </w:r>
    </w:p>
    <w:p>
      <w:pPr>
        <w:spacing w:before="75" w:after="0"/>
      </w:pPr>
      <w:r>
        <w:rPr/>
        <w:t xml:space="preserve">图表：合规管理关键指标</w:t>
      </w:r>
    </w:p>
    <w:p>
      <w:pPr>
        <w:spacing w:before="75" w:after="0"/>
      </w:pPr>
      <w:r>
        <w:rPr/>
        <w:t xml:space="preserve">图表：投资吸引力评分体系</w:t>
      </w:r>
    </w:p>
    <w:p>
      <w:pPr>
        <w:spacing w:before="75" w:after="0"/>
      </w:pPr>
      <w:r>
        <w:rPr/>
        <w:t xml:space="preserve">图表：esg信息披露核心指标</w:t>
      </w:r>
    </w:p>
    <w:p>
      <w:pPr>
        <w:spacing w:before="75" w:after="0"/>
      </w:pPr>
      <w:r>
        <w:rPr/>
        <w:t xml:space="preserve">图表：绿色认证等级标准对照</w:t>
      </w:r>
    </w:p>
    <w:p>
      <w:pPr>
        <w:spacing w:before="75" w:after="0"/>
      </w:pPr>
      <w:r>
        <w:rPr/>
        <w:t xml:space="preserve">图表：可持续发展关键绩效指标</w:t>
      </w:r>
    </w:p>
    <w:p>
      <w:pPr>
        <w:spacing w:before="75" w:after="0"/>
      </w:pPr>
      <w:r>
        <w:rPr/>
        <w:t xml:space="preserve">图表：行业与国际先进水平差距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2026-2031年中国绿色催收行业深度分析与发展趋势前瞻研究报告</dc:title>
  <dc:description>2026-2031年中国绿色催收行业深度分析与发展趋势前瞻研究报告</dc:description>
  <dc:subject>2026-2031年中国绿色催收行业深度分析与发展趋势前瞻研究报告</dc:subject>
  <cp:keywords>研究报告</cp:keywords>
  <cp:category>研究报告</cp:category>
  <cp:lastModifiedBy>北京中道泰和信息咨询有限公司</cp:lastModifiedBy>
  <dcterms:created xsi:type="dcterms:W3CDTF">2026-03-30T18:56:05+08:00</dcterms:created>
  <dcterms:modified xsi:type="dcterms:W3CDTF">2026-03-30T18:56:05+08:00</dcterms:modified>
</cp:coreProperties>
</file>

<file path=docProps/custom.xml><?xml version="1.0" encoding="utf-8"?>
<Properties xmlns="http://schemas.openxmlformats.org/officeDocument/2006/custom-properties" xmlns:vt="http://schemas.openxmlformats.org/officeDocument/2006/docPropsVTypes"/>
</file>