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2026-2031年中国电话催收行业数字化转型与合规发展研究报告</w:t>
      </w:r>
    </w:p>
    <w:p>
      <w:pPr>
        <w:spacing w:after="150"/>
      </w:pPr>
      <w:r>
        <w:rPr>
          <w:b w:val="1"/>
          <w:bCs w:val="1"/>
        </w:rPr>
        <w:t xml:space="preserve">报告简介</w:t>
      </w:r>
    </w:p>
    <w:p>
      <w:pPr>
        <w:spacing w:after="150"/>
      </w:pPr>
      <w:r>
        <w:rPr/>
        <w:t xml:space="preserve">电话催收作为金融贷后管理的基础性手段，是指催收机构通过电话、短信等远程通信工具与债务人建立沟通，依托标准化话术与系统化流程，依法合规传达还款义务、协商解决方案并实现债权回收的专业服务模式。作为第三方债务催收行业应用最广的核心作业方式，电话催收在信贷资产规模持续扩张、不良资产处置需求刚性增长的背景下，承担着连接金融机构与逾期客户、平衡回款效率与用户体验的关键职能。其本质已从过去依赖人力密集拨号的粗放工具，逐步向兼具合规管控、数据洞察与客户关系维护功能的精细化运营平台演进，成为衡量催收机构专业化能力的重要标尺。</w:t>
      </w:r>
    </w:p>
    <w:p>
      <w:pPr>
        <w:spacing w:after="150"/>
      </w:pPr>
      <w:r>
        <w:rPr/>
        <w:t xml:space="preserve">当前，中国电话催收行业正面临监管重构与技术变革的双重压力。政策环境上，《个人信息保护法》与《互联网金融贷后催收业务指引》等法规对每日外呼频次、夜间作业时段、信息授权链条等环节作出刚性约束，工信部对骚扰电话的严控使传统高频触达模式难以为继，行业准入门槛与执业资质要求显著提升，大量依赖“人海战术”的中小机构加速出清。技术应用层面，虽然自动语音识别与批量外呼系统已实现普及，但多数平台仍停留在机械式呼叫阶段，对债务人真实意图识别能力不足、通话质量监控滞后、合规风险预警缺失等问题凸显，难以满足监管对全过程留痕、可审计的严苛要求。市场格局方面，债务人反催收意识增强、投诉渠道畅通导致客诉压力激增，催收机构在回款业绩与合规成本之间艰难平衡，行业整体利润率承压，倒逼企业从规模扩张转向质量求生。未来，电话催收行业将呈现三大核心趋势。其一，智能化深度渗透，基于大模型的多模态语义理解、情感计算与动态话术生成技术将重构人机交互逻辑，AI坐席从替代简单外呼转向辅助人工决策，实现精准分案、风险预判与合规质检的有机统一。其二，服务模式向“电话+调解+在线协商”多元渠道融合演进，针对小额、高频的信用卡及消费信贷纠纷，7×24小时在线调解平台与智能还款方案生成器将分流传统电话压力，而电话渠道则聚焦复杂案件的深度沟通与情感修复，构建分层分类的作业体系。其三，合规科技(RegTech)全面嵌入，区块链存证、实时语音质检、数据加密传输等技术将打通从债权人委托到债务人履约的全链路可信环境，催收行为可追溯、可审计、可监管的数字化治理框架将成为头部机构的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催收行业研究单位等公布和提供的大量资料。报告对我国电话催收行业的供需状况、发展现状、子行业发展变化等进行了分析，重点分析了国内外电话催收行业的发展现状、如何面对行业的发展挑战、行业的发展建议、行业竞争力，以及行业的投资分析和趋势预测等等。报告还综合了电话催收行业的整体发展动态，对行业在产品方面提供了参考建议和具体解决办法。报告对于电话催收产品生产企业、经销商、行业管理部门以及拟进入该行业的投资者具有重要的参考价值，对于研究我国电话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行业界定与宏观环境分析</w:t>
      </w:r>
    </w:p>
    <w:p>
      <w:pPr>
        <w:spacing w:before="75" w:after="0"/>
      </w:pPr>
      <w:r>
        <w:rPr/>
        <w:t xml:space="preserve">第一节 电话催收行业定义与业务范畴</w:t>
      </w:r>
    </w:p>
    <w:p>
      <w:pPr>
        <w:spacing w:before="75" w:after="0"/>
      </w:pPr>
      <w:r>
        <w:rPr/>
        <w:t xml:space="preserve">一、行业基本概念与分类标准</w:t>
      </w:r>
    </w:p>
    <w:p>
      <w:pPr>
        <w:spacing w:before="75" w:after="0"/>
      </w:pPr>
      <w:r>
        <w:rPr/>
        <w:t xml:space="preserve">二、业务模式与作业流程解析</w:t>
      </w:r>
    </w:p>
    <w:p>
      <w:pPr>
        <w:spacing w:before="75" w:after="0"/>
      </w:pPr>
      <w:r>
        <w:rPr/>
        <w:t xml:space="preserve">三、行业在不良资产处置链中的价值定位</w:t>
      </w:r>
    </w:p>
    <w:p>
      <w:pPr>
        <w:spacing w:before="75" w:after="0"/>
      </w:pPr>
      <w:r>
        <w:rPr/>
        <w:t xml:space="preserve">第二节 宏观经济环境对行业的影响</w:t>
      </w:r>
    </w:p>
    <w:p>
      <w:pPr>
        <w:spacing w:before="75" w:after="0"/>
      </w:pPr>
      <w:r>
        <w:rPr/>
        <w:t xml:space="preserve">一、gdp增速与居民负债水平关联性分析</w:t>
      </w:r>
    </w:p>
    <w:p>
      <w:pPr>
        <w:spacing w:before="75" w:after="0"/>
      </w:pPr>
      <w:r>
        <w:rPr/>
        <w:t xml:space="preserve">二、消费金融扩容对逾期资产规模的驱动效应</w:t>
      </w:r>
    </w:p>
    <w:p>
      <w:pPr>
        <w:spacing w:before="75" w:after="0"/>
      </w:pPr>
      <w:r>
        <w:rPr/>
        <w:t xml:space="preserve">三、就业形势与居民偿债能力变化趋势</w:t>
      </w:r>
    </w:p>
    <w:p>
      <w:pPr>
        <w:spacing w:before="75" w:after="0"/>
      </w:pPr>
      <w:r>
        <w:rPr/>
        <w:t xml:space="preserve">第三节 监管环境演变与合规要求</w:t>
      </w:r>
    </w:p>
    <w:p>
      <w:pPr>
        <w:spacing w:before="75" w:after="0"/>
      </w:pPr>
      <w:r>
        <w:rPr/>
        <w:t xml:space="preserve">一、国家级催收规范核心条款解读</w:t>
      </w:r>
    </w:p>
    <w:p>
      <w:pPr>
        <w:spacing w:before="75" w:after="0"/>
      </w:pPr>
      <w:r>
        <w:rPr/>
        <w:t xml:space="preserve">二、金融机构对合作方管理要求升级</w:t>
      </w:r>
    </w:p>
    <w:p>
      <w:pPr>
        <w:spacing w:before="75" w:after="0"/>
      </w:pPr>
      <w:r>
        <w:rPr/>
        <w:t xml:space="preserve">三、个人信息保护与数据安全红线界定</w:t>
      </w:r>
    </w:p>
    <w:p>
      <w:pPr>
        <w:spacing w:before="75" w:after="0"/>
      </w:pPr>
      <w:r>
        <w:rPr>
          <w:b w:val="1"/>
          <w:bCs w:val="1"/>
        </w:rPr>
        <w:t xml:space="preserve">第二章 全球电话催收行业发展比较</w:t>
      </w:r>
    </w:p>
    <w:p>
      <w:pPr>
        <w:spacing w:before="75" w:after="0"/>
      </w:pPr>
      <w:r>
        <w:rPr/>
        <w:t xml:space="preserve">第一节 全球市场规模与增长态势</w:t>
      </w:r>
    </w:p>
    <w:p>
      <w:pPr>
        <w:spacing w:before="75" w:after="0"/>
      </w:pPr>
      <w:r>
        <w:rPr/>
        <w:t xml:space="preserve">一、2023-2025年全球市场规模复盘</w:t>
      </w:r>
    </w:p>
    <w:p>
      <w:pPr>
        <w:spacing w:before="75" w:after="0"/>
      </w:pPr>
      <w:r>
        <w:rPr/>
        <w:t xml:space="preserve">二、2026-2031年市场规模预测与cagr</w:t>
      </w:r>
    </w:p>
    <w:p>
      <w:pPr>
        <w:spacing w:before="75" w:after="0"/>
      </w:pPr>
      <w:r>
        <w:rPr/>
        <w:t xml:space="preserve">三、主要区域市场结构对比分析</w:t>
      </w:r>
    </w:p>
    <w:p>
      <w:pPr>
        <w:spacing w:before="75" w:after="0"/>
      </w:pPr>
      <w:r>
        <w:rPr/>
        <w:t xml:space="preserve">第二节 国际先进催收模式研究</w:t>
      </w:r>
    </w:p>
    <w:p>
      <w:pPr>
        <w:spacing w:before="75" w:after="0"/>
      </w:pPr>
      <w:r>
        <w:rPr/>
        <w:t xml:space="preserve">一、北美智能催收技术应用现状</w:t>
      </w:r>
    </w:p>
    <w:p>
      <w:pPr>
        <w:spacing w:before="75" w:after="0"/>
      </w:pPr>
      <w:r>
        <w:rPr/>
        <w:t xml:space="preserve">二、欧洲合规催收体系构建经验</w:t>
      </w:r>
    </w:p>
    <w:p>
      <w:pPr>
        <w:spacing w:before="75" w:after="0"/>
      </w:pPr>
      <w:r>
        <w:rPr/>
        <w:t xml:space="preserve">三、亚太新兴市场发展模式</w:t>
      </w:r>
    </w:p>
    <w:p>
      <w:pPr>
        <w:spacing w:before="75" w:after="0"/>
      </w:pPr>
      <w:r>
        <w:rPr/>
        <w:t xml:space="preserve">第三节 国际技术发展趋势</w:t>
      </w:r>
    </w:p>
    <w:p>
      <w:pPr>
        <w:spacing w:before="75" w:after="0"/>
      </w:pPr>
      <w:r>
        <w:rPr/>
        <w:t xml:space="preserve">一、生成式ai在催收场景的应用探索</w:t>
      </w:r>
    </w:p>
    <w:p>
      <w:pPr>
        <w:spacing w:before="75" w:after="0"/>
      </w:pPr>
      <w:r>
        <w:rPr/>
        <w:t xml:space="preserve">二、多语言语音识别技术突破</w:t>
      </w:r>
    </w:p>
    <w:p>
      <w:pPr>
        <w:spacing w:before="75" w:after="0"/>
      </w:pPr>
      <w:r>
        <w:rPr/>
        <w:t xml:space="preserve">三、跨文化催收策略算法优化</w:t>
      </w:r>
    </w:p>
    <w:p>
      <w:pPr>
        <w:spacing w:before="75" w:after="0"/>
      </w:pPr>
      <w:r>
        <w:rPr>
          <w:b w:val="1"/>
          <w:bCs w:val="1"/>
        </w:rPr>
        <w:t xml:space="preserve">第三章 中国电话催收市场规模与供需分析</w:t>
      </w:r>
    </w:p>
    <w:p>
      <w:pPr>
        <w:spacing w:before="75" w:after="0"/>
      </w:pPr>
      <w:r>
        <w:rPr/>
        <w:t xml:space="preserve">第一节 2023-2025年市场规模回顾</w:t>
      </w:r>
    </w:p>
    <w:p>
      <w:pPr>
        <w:spacing w:before="75" w:after="0"/>
      </w:pPr>
      <w:r>
        <w:rPr/>
        <w:t xml:space="preserve">一、行业总收入规模变化轨迹</w:t>
      </w:r>
    </w:p>
    <w:p>
      <w:pPr>
        <w:spacing w:before="75" w:after="0"/>
      </w:pPr>
      <w:r>
        <w:rPr/>
        <w:t xml:space="preserve">二、服务订单量波动特征分析</w:t>
      </w:r>
    </w:p>
    <w:p>
      <w:pPr>
        <w:spacing w:before="75" w:after="0"/>
      </w:pPr>
      <w:r>
        <w:rPr/>
        <w:t xml:space="preserve">三、平均服务费率走势研究</w:t>
      </w:r>
    </w:p>
    <w:p>
      <w:pPr>
        <w:spacing w:before="75" w:after="0"/>
      </w:pPr>
      <w:r>
        <w:rPr/>
        <w:t xml:space="preserve">第二节 2026-2031年市场规模预测</w:t>
      </w:r>
    </w:p>
    <w:p>
      <w:pPr>
        <w:spacing w:before="75" w:after="0"/>
      </w:pPr>
      <w:r>
        <w:rPr/>
        <w:t xml:space="preserve">一、市场规模总量预测模型</w:t>
      </w:r>
    </w:p>
    <w:p>
      <w:pPr>
        <w:spacing w:before="75" w:after="0"/>
      </w:pPr>
      <w:r>
        <w:rPr/>
        <w:t xml:space="preserve">二、增长驱动因素量化分析</w:t>
      </w:r>
    </w:p>
    <w:p>
      <w:pPr>
        <w:spacing w:before="75" w:after="0"/>
      </w:pPr>
      <w:r>
        <w:rPr/>
        <w:t xml:space="preserve">三、增长天花板与瓶颈识别</w:t>
      </w:r>
    </w:p>
    <w:p>
      <w:pPr>
        <w:spacing w:before="75" w:after="0"/>
      </w:pPr>
      <w:r>
        <w:rPr/>
        <w:t xml:space="preserve">第三节 供需平衡与结构性机会</w:t>
      </w:r>
    </w:p>
    <w:p>
      <w:pPr>
        <w:spacing w:before="75" w:after="0"/>
      </w:pPr>
      <w:r>
        <w:rPr/>
        <w:t xml:space="preserve">一、不良资产供给端规模测算</w:t>
      </w:r>
    </w:p>
    <w:p>
      <w:pPr>
        <w:spacing w:before="75" w:after="0"/>
      </w:pPr>
      <w:r>
        <w:rPr/>
        <w:t xml:space="preserve">二、催收服务产能分布格局</w:t>
      </w:r>
    </w:p>
    <w:p>
      <w:pPr>
        <w:spacing w:before="75" w:after="0"/>
      </w:pPr>
      <w:r>
        <w:rPr/>
        <w:t xml:space="preserve">三、供需缺口与区域错配分析</w:t>
      </w:r>
    </w:p>
    <w:p>
      <w:pPr>
        <w:spacing w:before="75" w:after="0"/>
      </w:pPr>
      <w:r>
        <w:rPr>
          <w:b w:val="1"/>
          <w:bCs w:val="1"/>
        </w:rPr>
        <w:t xml:space="preserve">第四章 不良资产来源结构深度剖析</w:t>
      </w:r>
    </w:p>
    <w:p>
      <w:pPr>
        <w:spacing w:before="75" w:after="0"/>
      </w:pPr>
      <w:r>
        <w:rPr/>
        <w:t xml:space="preserve">第一节 信用卡逾期资产分析</w:t>
      </w:r>
    </w:p>
    <w:p>
      <w:pPr>
        <w:spacing w:before="75" w:after="0"/>
      </w:pPr>
      <w:r>
        <w:rPr/>
        <w:t xml:space="preserve">一、信用卡逾期余额规模与增长率</w:t>
      </w:r>
    </w:p>
    <w:p>
      <w:pPr>
        <w:spacing w:before="75" w:after="0"/>
      </w:pPr>
      <w:r>
        <w:rPr/>
        <w:t xml:space="preserve">二、逾期180天以上资产回收率</w:t>
      </w:r>
    </w:p>
    <w:p>
      <w:pPr>
        <w:spacing w:before="75" w:after="0"/>
      </w:pPr>
      <w:r>
        <w:rPr/>
        <w:t xml:space="preserve">三、不同额度区间逾期特征对比</w:t>
      </w:r>
    </w:p>
    <w:p>
      <w:pPr>
        <w:spacing w:before="75" w:after="0"/>
      </w:pPr>
      <w:r>
        <w:rPr/>
        <w:t xml:space="preserve">第二节 网络消费信贷不良资产</w:t>
      </w:r>
    </w:p>
    <w:p>
      <w:pPr>
        <w:spacing w:before="75" w:after="0"/>
      </w:pPr>
      <w:r>
        <w:rPr/>
        <w:t xml:space="preserve">一、网贷逾期资产规模变化趋势</w:t>
      </w:r>
    </w:p>
    <w:p>
      <w:pPr>
        <w:spacing w:before="75" w:after="0"/>
      </w:pPr>
      <w:r>
        <w:rPr/>
        <w:t xml:space="preserve">二、多头借贷与共债风险识别</w:t>
      </w:r>
    </w:p>
    <w:p>
      <w:pPr>
        <w:spacing w:before="75" w:after="0"/>
      </w:pPr>
      <w:r>
        <w:rPr/>
        <w:t xml:space="preserve">三、年轻客群逾期行为特征</w:t>
      </w:r>
    </w:p>
    <w:p>
      <w:pPr>
        <w:spacing w:before="75" w:after="0"/>
      </w:pPr>
      <w:r>
        <w:rPr/>
        <w:t xml:space="preserve">第三节 其他类型不良资产</w:t>
      </w:r>
    </w:p>
    <w:p>
      <w:pPr>
        <w:spacing w:before="75" w:after="0"/>
      </w:pPr>
      <w:r>
        <w:rPr/>
        <w:t xml:space="preserve">一、持牌消费金融公司逾期资产</w:t>
      </w:r>
    </w:p>
    <w:p>
      <w:pPr>
        <w:spacing w:before="75" w:after="0"/>
      </w:pPr>
      <w:r>
        <w:rPr/>
        <w:t xml:space="preserve">二、小额贷款公司不良资产状况</w:t>
      </w:r>
    </w:p>
    <w:p>
      <w:pPr>
        <w:spacing w:before="75" w:after="0"/>
      </w:pPr>
      <w:r>
        <w:rPr/>
        <w:t xml:space="preserve">三、小微企业贷后逾期趋势</w:t>
      </w:r>
    </w:p>
    <w:p>
      <w:pPr>
        <w:spacing w:before="75" w:after="0"/>
      </w:pPr>
      <w:r>
        <w:rPr>
          <w:b w:val="1"/>
          <w:bCs w:val="1"/>
        </w:rPr>
        <w:t xml:space="preserve">第五章 ai技术重构催收作业流程</w:t>
      </w:r>
    </w:p>
    <w:p>
      <w:pPr>
        <w:spacing w:before="75" w:after="0"/>
      </w:pPr>
      <w:r>
        <w:rPr/>
        <w:t xml:space="preserve">第一节 智能外呼系统技术架构</w:t>
      </w:r>
    </w:p>
    <w:p>
      <w:pPr>
        <w:spacing w:before="75" w:after="0"/>
      </w:pPr>
      <w:r>
        <w:rPr/>
        <w:t xml:space="preserve">一、asr语音识别准确率提升路径</w:t>
      </w:r>
    </w:p>
    <w:p>
      <w:pPr>
        <w:spacing w:before="75" w:after="0"/>
      </w:pPr>
      <w:r>
        <w:rPr/>
        <w:t xml:space="preserve">二、nlp语义理解能力演进</w:t>
      </w:r>
    </w:p>
    <w:p>
      <w:pPr>
        <w:spacing w:before="75" w:after="0"/>
      </w:pPr>
      <w:r>
        <w:rPr/>
        <w:t xml:space="preserve">三、tts语音合成自然度优化</w:t>
      </w:r>
    </w:p>
    <w:p>
      <w:pPr>
        <w:spacing w:before="75" w:after="0"/>
      </w:pPr>
      <w:r>
        <w:rPr/>
        <w:t xml:space="preserve">第二节 机器人催收作业模式</w:t>
      </w:r>
    </w:p>
    <w:p>
      <w:pPr>
        <w:spacing w:before="75" w:after="0"/>
      </w:pPr>
      <w:r>
        <w:rPr/>
        <w:t xml:space="preserve">一、ai坐席与人工坐席协同机制</w:t>
      </w:r>
    </w:p>
    <w:p>
      <w:pPr>
        <w:spacing w:before="75" w:after="0"/>
      </w:pPr>
      <w:r>
        <w:rPr/>
        <w:t xml:space="preserve">二、催收话术动态生成逻辑</w:t>
      </w:r>
    </w:p>
    <w:p>
      <w:pPr>
        <w:spacing w:before="75" w:after="0"/>
      </w:pPr>
      <w:r>
        <w:rPr/>
        <w:t xml:space="preserve">三、通话质量实时监测体系</w:t>
      </w:r>
    </w:p>
    <w:p>
      <w:pPr>
        <w:spacing w:before="75" w:after="0"/>
      </w:pPr>
      <w:r>
        <w:rPr/>
        <w:t xml:space="preserve">第三节 大数据驱动策略优化</w:t>
      </w:r>
    </w:p>
    <w:p>
      <w:pPr>
        <w:spacing w:before="75" w:after="0"/>
      </w:pPr>
      <w:r>
        <w:rPr/>
        <w:t xml:space="preserve">一、债务人画像标签体系构建</w:t>
      </w:r>
    </w:p>
    <w:p>
      <w:pPr>
        <w:spacing w:before="75" w:after="0"/>
      </w:pPr>
      <w:r>
        <w:rPr/>
        <w:t xml:space="preserve">二、还款意愿预测模型迭代</w:t>
      </w:r>
    </w:p>
    <w:p>
      <w:pPr>
        <w:spacing w:before="75" w:after="0"/>
      </w:pPr>
      <w:r>
        <w:rPr/>
        <w:t xml:space="preserve">三、分案规则智能匹配算法</w:t>
      </w:r>
    </w:p>
    <w:p>
      <w:pPr>
        <w:spacing w:before="75" w:after="0"/>
      </w:pPr>
      <w:r>
        <w:rPr>
          <w:b w:val="1"/>
          <w:bCs w:val="1"/>
        </w:rPr>
        <w:t xml:space="preserve">第六章 智能催收系统实施效果评估</w:t>
      </w:r>
    </w:p>
    <w:p>
      <w:pPr>
        <w:spacing w:before="75" w:after="0"/>
      </w:pPr>
      <w:r>
        <w:rPr/>
        <w:t xml:space="preserve">第一节 催收效率量化指标</w:t>
      </w:r>
    </w:p>
    <w:p>
      <w:pPr>
        <w:spacing w:before="75" w:after="0"/>
      </w:pPr>
      <w:r>
        <w:rPr/>
        <w:t xml:space="preserve">一、单坐席日通话量对比分析</w:t>
      </w:r>
    </w:p>
    <w:p>
      <w:pPr>
        <w:spacing w:before="75" w:after="0"/>
      </w:pPr>
      <w:r>
        <w:rPr/>
        <w:t xml:space="preserve">二、接通率与有效沟通率变化</w:t>
      </w:r>
    </w:p>
    <w:p>
      <w:pPr>
        <w:spacing w:before="75" w:after="0"/>
      </w:pPr>
      <w:r>
        <w:rPr/>
        <w:t xml:space="preserve">三、回款周期缩短效果测算</w:t>
      </w:r>
    </w:p>
    <w:p>
      <w:pPr>
        <w:spacing w:before="75" w:after="0"/>
      </w:pPr>
      <w:r>
        <w:rPr/>
        <w:t xml:space="preserve">第二节 成本效益分析</w:t>
      </w:r>
    </w:p>
    <w:p>
      <w:pPr>
        <w:spacing w:before="75" w:after="0"/>
      </w:pPr>
      <w:r>
        <w:rPr/>
        <w:t xml:space="preserve">一、人力成本节约幅度</w:t>
      </w:r>
    </w:p>
    <w:p>
      <w:pPr>
        <w:spacing w:before="75" w:after="0"/>
      </w:pPr>
      <w:r>
        <w:rPr/>
        <w:t xml:space="preserve">二、技术投入roi测算模型</w:t>
      </w:r>
    </w:p>
    <w:p>
      <w:pPr>
        <w:spacing w:before="75" w:after="0"/>
      </w:pPr>
      <w:r>
        <w:rPr/>
        <w:t xml:space="preserve">三、综合运营成本结构优化</w:t>
      </w:r>
    </w:p>
    <w:p>
      <w:pPr>
        <w:spacing w:before="75" w:after="0"/>
      </w:pPr>
      <w:r>
        <w:rPr/>
        <w:t xml:space="preserve">第三节 系统性能与用户体验</w:t>
      </w:r>
    </w:p>
    <w:p>
      <w:pPr>
        <w:spacing w:before="75" w:after="0"/>
      </w:pPr>
      <w:r>
        <w:rPr/>
        <w:t xml:space="preserve">一、机器人催收成功率统计</w:t>
      </w:r>
    </w:p>
    <w:p>
      <w:pPr>
        <w:spacing w:before="75" w:after="0"/>
      </w:pPr>
      <w:r>
        <w:rPr/>
        <w:t xml:space="preserve">二、债务人投诉率变化趋势</w:t>
      </w:r>
    </w:p>
    <w:p>
      <w:pPr>
        <w:spacing w:before="75" w:after="0"/>
      </w:pPr>
      <w:r>
        <w:rPr/>
        <w:t xml:space="preserve">三、催收过程合规性自动质检</w:t>
      </w:r>
    </w:p>
    <w:p>
      <w:pPr>
        <w:spacing w:before="75" w:after="0"/>
      </w:pPr>
      <w:r>
        <w:rPr>
          <w:b w:val="1"/>
          <w:bCs w:val="1"/>
        </w:rPr>
        <w:t xml:space="preserve">第七章 合规管理体系建设</w:t>
      </w:r>
    </w:p>
    <w:p>
      <w:pPr>
        <w:spacing w:before="75" w:after="0"/>
      </w:pPr>
      <w:r>
        <w:rPr/>
        <w:t xml:space="preserve">第一节 催收行为规范内化机制</w:t>
      </w:r>
    </w:p>
    <w:p>
      <w:pPr>
        <w:spacing w:before="75" w:after="0"/>
      </w:pPr>
      <w:r>
        <w:rPr/>
        <w:t xml:space="preserve">一、通话频次与时间控制技术实现</w:t>
      </w:r>
    </w:p>
    <w:p>
      <w:pPr>
        <w:spacing w:before="75" w:after="0"/>
      </w:pPr>
      <w:r>
        <w:rPr/>
        <w:t xml:space="preserve">二、催收对象精准识别与隔离</w:t>
      </w:r>
    </w:p>
    <w:p>
      <w:pPr>
        <w:spacing w:before="75" w:after="0"/>
      </w:pPr>
      <w:r>
        <w:rPr/>
        <w:t xml:space="preserve">三、敏感词库动态更新机制</w:t>
      </w:r>
    </w:p>
    <w:p>
      <w:pPr>
        <w:spacing w:before="75" w:after="0"/>
      </w:pPr>
      <w:r>
        <w:rPr/>
        <w:t xml:space="preserve">第二节 合作方管理体系</w:t>
      </w:r>
    </w:p>
    <w:p>
      <w:pPr>
        <w:spacing w:before="75" w:after="0"/>
      </w:pPr>
      <w:r>
        <w:rPr/>
        <w:t xml:space="preserve">一、催收机构准入评估模型</w:t>
      </w:r>
    </w:p>
    <w:p>
      <w:pPr>
        <w:spacing w:before="75" w:after="0"/>
      </w:pPr>
      <w:r>
        <w:rPr/>
        <w:t xml:space="preserve">二、服务过程动态监控指标</w:t>
      </w:r>
    </w:p>
    <w:p>
      <w:pPr>
        <w:spacing w:before="75" w:after="0"/>
      </w:pPr>
      <w:r>
        <w:rPr/>
        <w:t xml:space="preserve">三、年度评价结果与续约决策</w:t>
      </w:r>
    </w:p>
    <w:p>
      <w:pPr>
        <w:spacing w:before="75" w:after="0"/>
      </w:pPr>
      <w:r>
        <w:rPr/>
        <w:t xml:space="preserve">第三节 数据安全防控体系</w:t>
      </w:r>
    </w:p>
    <w:p>
      <w:pPr>
        <w:spacing w:before="75" w:after="0"/>
      </w:pPr>
      <w:r>
        <w:rPr/>
        <w:t xml:space="preserve">一、债务人信息加密存储技术</w:t>
      </w:r>
    </w:p>
    <w:p>
      <w:pPr>
        <w:spacing w:before="75" w:after="0"/>
      </w:pPr>
      <w:r>
        <w:rPr/>
        <w:t xml:space="preserve">二、数据传输与访问权限控制</w:t>
      </w:r>
    </w:p>
    <w:p>
      <w:pPr>
        <w:spacing w:before="75" w:after="0"/>
      </w:pPr>
      <w:r>
        <w:rPr/>
        <w:t xml:space="preserve">三、安全事件应急响应预案</w:t>
      </w:r>
    </w:p>
    <w:p>
      <w:pPr>
        <w:spacing w:before="75" w:after="0"/>
      </w:pPr>
      <w:r>
        <w:rPr>
          <w:b w:val="1"/>
          <w:bCs w:val="1"/>
        </w:rPr>
        <w:t xml:space="preserve">第八章 产业链结构与价值分布</w:t>
      </w:r>
    </w:p>
    <w:p>
      <w:pPr>
        <w:spacing w:before="75" w:after="0"/>
      </w:pPr>
      <w:r>
        <w:rPr/>
        <w:t xml:space="preserve">第一节 上游技术服务商分析</w:t>
      </w:r>
    </w:p>
    <w:p>
      <w:pPr>
        <w:spacing w:before="75" w:after="0"/>
      </w:pPr>
      <w:r>
        <w:rPr/>
        <w:t xml:space="preserve">一、智能催收系统供应商格局</w:t>
      </w:r>
    </w:p>
    <w:p>
      <w:pPr>
        <w:spacing w:before="75" w:after="0"/>
      </w:pPr>
      <w:r>
        <w:rPr/>
        <w:t xml:space="preserve">二、语音线路资源提供商</w:t>
      </w:r>
    </w:p>
    <w:p>
      <w:pPr>
        <w:spacing w:before="75" w:after="0"/>
      </w:pPr>
      <w:r>
        <w:rPr/>
        <w:t xml:space="preserve">三、数据风控服务商能力评估</w:t>
      </w:r>
    </w:p>
    <w:p>
      <w:pPr>
        <w:spacing w:before="75" w:after="0"/>
      </w:pPr>
      <w:r>
        <w:rPr/>
        <w:t xml:space="preserve">第二节 中游催收服务机构</w:t>
      </w:r>
    </w:p>
    <w:p>
      <w:pPr>
        <w:spacing w:before="75" w:after="0"/>
      </w:pPr>
      <w:r>
        <w:rPr/>
        <w:t xml:space="preserve">一、全国性催收机构服务能力</w:t>
      </w:r>
    </w:p>
    <w:p>
      <w:pPr>
        <w:spacing w:before="75" w:after="0"/>
      </w:pPr>
      <w:r>
        <w:rPr/>
        <w:t xml:space="preserve">二、区域性催收公司生存现状</w:t>
      </w:r>
    </w:p>
    <w:p>
      <w:pPr>
        <w:spacing w:before="75" w:after="0"/>
      </w:pPr>
      <w:r>
        <w:rPr/>
        <w:t xml:space="preserve">三、催收机构毛利率水平对比</w:t>
      </w:r>
    </w:p>
    <w:p>
      <w:pPr>
        <w:spacing w:before="75" w:after="0"/>
      </w:pPr>
      <w:r>
        <w:rPr/>
        <w:t xml:space="preserve">第三节 下游金融机构需求</w:t>
      </w:r>
    </w:p>
    <w:p>
      <w:pPr>
        <w:spacing w:before="75" w:after="0"/>
      </w:pPr>
      <w:r>
        <w:rPr/>
        <w:t xml:space="preserve">一、银行委外催收预算变化</w:t>
      </w:r>
    </w:p>
    <w:p>
      <w:pPr>
        <w:spacing w:before="75" w:after="0"/>
      </w:pPr>
      <w:r>
        <w:rPr/>
        <w:t xml:space="preserve">二、消费金融公司催收策略</w:t>
      </w:r>
    </w:p>
    <w:p>
      <w:pPr>
        <w:spacing w:before="75" w:after="0"/>
      </w:pPr>
      <w:r>
        <w:rPr/>
        <w:t xml:space="preserve">三、资产管理公司收购意愿</w:t>
      </w:r>
    </w:p>
    <w:p>
      <w:pPr>
        <w:spacing w:before="75" w:after="0"/>
      </w:pPr>
      <w:r>
        <w:rPr>
          <w:b w:val="1"/>
          <w:bCs w:val="1"/>
        </w:rPr>
        <w:t xml:space="preserve">第九章 行业竞争格局演变</w:t>
      </w:r>
    </w:p>
    <w:p>
      <w:pPr>
        <w:spacing w:before="75" w:after="0"/>
      </w:pPr>
      <w:r>
        <w:rPr/>
        <w:t xml:space="preserve">第一节 市场集中度分析</w:t>
      </w:r>
    </w:p>
    <w:p>
      <w:pPr>
        <w:spacing w:before="75" w:after="0"/>
      </w:pPr>
      <w:r>
        <w:rPr/>
        <w:t xml:space="preserve">一、cr5市场份额变化趋势</w:t>
      </w:r>
    </w:p>
    <w:p>
      <w:pPr>
        <w:spacing w:before="75" w:after="0"/>
      </w:pPr>
      <w:r>
        <w:rPr/>
        <w:t xml:space="preserve">二、行业进入壁垒量化评估</w:t>
      </w:r>
    </w:p>
    <w:p>
      <w:pPr>
        <w:spacing w:before="75" w:after="0"/>
      </w:pPr>
      <w:r>
        <w:rPr/>
        <w:t xml:space="preserve">三、潜在进入者威胁程度</w:t>
      </w:r>
    </w:p>
    <w:p>
      <w:pPr>
        <w:spacing w:before="75" w:after="0"/>
      </w:pPr>
      <w:r>
        <w:rPr/>
        <w:t xml:space="preserve">第二节 传统机构转型路径</w:t>
      </w:r>
    </w:p>
    <w:p>
      <w:pPr>
        <w:spacing w:before="75" w:after="0"/>
      </w:pPr>
      <w:r>
        <w:rPr/>
        <w:t xml:space="preserve">一、人工催收团队规模缩减曲线</w:t>
      </w:r>
    </w:p>
    <w:p>
      <w:pPr>
        <w:spacing w:before="75" w:after="0"/>
      </w:pPr>
      <w:r>
        <w:rPr/>
        <w:t xml:space="preserve">二、技术投入占比提升趋势</w:t>
      </w:r>
    </w:p>
    <w:p>
      <w:pPr>
        <w:spacing w:before="75" w:after="0"/>
      </w:pPr>
      <w:r>
        <w:rPr/>
        <w:t xml:space="preserve">三、服务模式转型成效评估</w:t>
      </w:r>
    </w:p>
    <w:p>
      <w:pPr>
        <w:spacing w:before="75" w:after="0"/>
      </w:pPr>
      <w:r>
        <w:rPr/>
        <w:t xml:space="preserve">第三节 新兴科技催收企业</w:t>
      </w:r>
    </w:p>
    <w:p>
      <w:pPr>
        <w:spacing w:before="75" w:after="0"/>
      </w:pPr>
      <w:r>
        <w:rPr/>
        <w:t xml:space="preserve">一、技术驱动型企业估值水平</w:t>
      </w:r>
    </w:p>
    <w:p>
      <w:pPr>
        <w:spacing w:before="75" w:after="0"/>
      </w:pPr>
      <w:r>
        <w:rPr/>
        <w:t xml:space="preserve">二、轻资产模式扩张速度</w:t>
      </w:r>
    </w:p>
    <w:p>
      <w:pPr>
        <w:spacing w:before="75" w:after="0"/>
      </w:pPr>
      <w:r>
        <w:rPr/>
        <w:t xml:space="preserve">三、与传统机构合作模式</w:t>
      </w:r>
    </w:p>
    <w:p>
      <w:pPr>
        <w:spacing w:before="75" w:after="0"/>
      </w:pPr>
      <w:r>
        <w:rPr>
          <w:b w:val="1"/>
          <w:bCs w:val="1"/>
        </w:rPr>
        <w:t xml:space="preserve">第十章 区域市场发展特征</w:t>
      </w:r>
    </w:p>
    <w:p>
      <w:pPr>
        <w:spacing w:before="75" w:after="0"/>
      </w:pPr>
      <w:r>
        <w:rPr/>
        <w:t xml:space="preserve">第一节 华东地区市场分析</w:t>
      </w:r>
    </w:p>
    <w:p>
      <w:pPr>
        <w:spacing w:before="75" w:after="0"/>
      </w:pPr>
      <w:r>
        <w:rPr/>
        <w:t xml:space="preserve">一、市场规模与增长率领跑原因</w:t>
      </w:r>
    </w:p>
    <w:p>
      <w:pPr>
        <w:spacing w:before="75" w:after="0"/>
      </w:pPr>
      <w:r>
        <w:rPr/>
        <w:t xml:space="preserve">二、主要城市催收业务量分布</w:t>
      </w:r>
    </w:p>
    <w:p>
      <w:pPr>
        <w:spacing w:before="75" w:after="0"/>
      </w:pPr>
      <w:r>
        <w:rPr/>
        <w:t xml:space="preserve">三、技术应用渗透率对比</w:t>
      </w:r>
    </w:p>
    <w:p>
      <w:pPr>
        <w:spacing w:before="75" w:after="0"/>
      </w:pPr>
      <w:r>
        <w:rPr/>
        <w:t xml:space="preserve">第二节 华南地区市场现状</w:t>
      </w:r>
    </w:p>
    <w:p>
      <w:pPr>
        <w:spacing w:before="75" w:after="0"/>
      </w:pPr>
      <w:r>
        <w:rPr/>
        <w:t xml:space="preserve">一、消费金融发达程度影响</w:t>
      </w:r>
    </w:p>
    <w:p>
      <w:pPr>
        <w:spacing w:before="75" w:after="0"/>
      </w:pPr>
      <w:r>
        <w:rPr/>
        <w:t xml:space="preserve">二、不良资产供给规模分析</w:t>
      </w:r>
    </w:p>
    <w:p>
      <w:pPr>
        <w:spacing w:before="75" w:after="0"/>
      </w:pPr>
      <w:r>
        <w:rPr/>
        <w:t xml:space="preserve">三、区域政策执行严格度</w:t>
      </w:r>
    </w:p>
    <w:p>
      <w:pPr>
        <w:spacing w:before="75" w:after="0"/>
      </w:pPr>
      <w:r>
        <w:rPr/>
        <w:t xml:space="preserve">第三节 中西部地区市场潜力</w:t>
      </w:r>
    </w:p>
    <w:p>
      <w:pPr>
        <w:spacing w:before="75" w:after="0"/>
      </w:pPr>
      <w:r>
        <w:rPr/>
        <w:t xml:space="preserve">一、市场基数与增速预测</w:t>
      </w:r>
    </w:p>
    <w:p>
      <w:pPr>
        <w:spacing w:before="75" w:after="0"/>
      </w:pPr>
      <w:r>
        <w:rPr/>
        <w:t xml:space="preserve">二、金融机构下沉趋势</w:t>
      </w:r>
    </w:p>
    <w:p>
      <w:pPr>
        <w:spacing w:before="75" w:after="0"/>
      </w:pPr>
      <w:r>
        <w:rPr/>
        <w:t xml:space="preserve">三、本地化催收策略适应性</w:t>
      </w:r>
    </w:p>
    <w:p>
      <w:pPr>
        <w:spacing w:before="75" w:after="0"/>
      </w:pPr>
      <w:r>
        <w:rPr>
          <w:b w:val="1"/>
          <w:bCs w:val="1"/>
        </w:rPr>
        <w:t xml:space="preserve">第十一章 细分领域深度研究</w:t>
      </w:r>
    </w:p>
    <w:p>
      <w:pPr>
        <w:spacing w:before="75" w:after="0"/>
      </w:pPr>
      <w:r>
        <w:rPr/>
        <w:t xml:space="preserve">第一节 信用卡催收市场</w:t>
      </w:r>
    </w:p>
    <w:p>
      <w:pPr>
        <w:spacing w:before="75" w:after="0"/>
      </w:pPr>
      <w:r>
        <w:rPr/>
        <w:t xml:space="preserve">一、逾期90天内催收策略</w:t>
      </w:r>
    </w:p>
    <w:p>
      <w:pPr>
        <w:spacing w:before="75" w:after="0"/>
      </w:pPr>
      <w:r>
        <w:rPr/>
        <w:t xml:space="preserve">二、逾期180天以上处置方式</w:t>
      </w:r>
    </w:p>
    <w:p>
      <w:pPr>
        <w:spacing w:before="75" w:after="0"/>
      </w:pPr>
      <w:r>
        <w:rPr/>
        <w:t xml:space="preserve">三、不同银行委外偏好差异</w:t>
      </w:r>
    </w:p>
    <w:p>
      <w:pPr>
        <w:spacing w:before="75" w:after="0"/>
      </w:pPr>
      <w:r>
        <w:rPr/>
        <w:t xml:space="preserve">第二节 网络消费信贷催收</w:t>
      </w:r>
    </w:p>
    <w:p>
      <w:pPr>
        <w:spacing w:before="75" w:after="0"/>
      </w:pPr>
      <w:r>
        <w:rPr/>
        <w:t xml:space="preserve">一、小额分散资产催收难点</w:t>
      </w:r>
    </w:p>
    <w:p>
      <w:pPr>
        <w:spacing w:before="75" w:after="0"/>
      </w:pPr>
      <w:r>
        <w:rPr/>
        <w:t xml:space="preserve">二、多头借贷识别技术应用</w:t>
      </w:r>
    </w:p>
    <w:p>
      <w:pPr>
        <w:spacing w:before="75" w:after="0"/>
      </w:pPr>
      <w:r>
        <w:rPr/>
        <w:t xml:space="preserve">三、失联客户修复成功率</w:t>
      </w:r>
    </w:p>
    <w:p>
      <w:pPr>
        <w:spacing w:before="75" w:after="0"/>
      </w:pPr>
      <w:r>
        <w:rPr/>
        <w:t xml:space="preserve">第三节 小微企业贷后催收</w:t>
      </w:r>
    </w:p>
    <w:p>
      <w:pPr>
        <w:spacing w:before="75" w:after="0"/>
      </w:pPr>
      <w:r>
        <w:rPr/>
        <w:t xml:space="preserve">一、对公业务催收流程特点</w:t>
      </w:r>
    </w:p>
    <w:p>
      <w:pPr>
        <w:spacing w:before="75" w:after="0"/>
      </w:pPr>
      <w:r>
        <w:rPr/>
        <w:t xml:space="preserve">二、抵押物处置与电话催收结合</w:t>
      </w:r>
    </w:p>
    <w:p>
      <w:pPr>
        <w:spacing w:before="75" w:after="0"/>
      </w:pPr>
      <w:r>
        <w:rPr/>
        <w:t xml:space="preserve">三、企业信用修复机制</w:t>
      </w:r>
    </w:p>
    <w:p>
      <w:pPr>
        <w:spacing w:before="75" w:after="0"/>
      </w:pPr>
      <w:r>
        <w:rPr>
          <w:b w:val="1"/>
          <w:bCs w:val="1"/>
        </w:rPr>
        <w:t xml:space="preserve">第十二章 运营模式创新实践</w:t>
      </w:r>
    </w:p>
    <w:p>
      <w:pPr>
        <w:spacing w:before="75" w:after="0"/>
      </w:pPr>
      <w:r>
        <w:rPr/>
        <w:t xml:space="preserve">第一节 人机协同作业模式</w:t>
      </w:r>
    </w:p>
    <w:p>
      <w:pPr>
        <w:spacing w:before="75" w:after="0"/>
      </w:pPr>
      <w:r>
        <w:rPr/>
        <w:t xml:space="preserve">一、ai预处理与人工介入时机</w:t>
      </w:r>
    </w:p>
    <w:p>
      <w:pPr>
        <w:spacing w:before="75" w:after="0"/>
      </w:pPr>
      <w:r>
        <w:rPr/>
        <w:t xml:space="preserve">二、复杂案件转人工判定规则</w:t>
      </w:r>
    </w:p>
    <w:p>
      <w:pPr>
        <w:spacing w:before="75" w:after="0"/>
      </w:pPr>
      <w:r>
        <w:rPr/>
        <w:t xml:space="preserve">三、协同流程效率优化空间</w:t>
      </w:r>
    </w:p>
    <w:p>
      <w:pPr>
        <w:spacing w:before="75" w:after="0"/>
      </w:pPr>
      <w:r>
        <w:rPr/>
        <w:t xml:space="preserve">第二节 差异化催收策略</w:t>
      </w:r>
    </w:p>
    <w:p>
      <w:pPr>
        <w:spacing w:before="75" w:after="0"/>
      </w:pPr>
      <w:r>
        <w:rPr/>
        <w:t xml:space="preserve">一、基于风险等级的分案逻辑</w:t>
      </w:r>
    </w:p>
    <w:p>
      <w:pPr>
        <w:spacing w:before="75" w:after="0"/>
      </w:pPr>
      <w:r>
        <w:rPr/>
        <w:t xml:space="preserve">二、年龄段定制化话术效果</w:t>
      </w:r>
    </w:p>
    <w:p>
      <w:pPr>
        <w:spacing w:before="75" w:after="0"/>
      </w:pPr>
      <w:r>
        <w:rPr/>
        <w:t xml:space="preserve">三、还款能力评估与方案匹配</w:t>
      </w:r>
    </w:p>
    <w:p>
      <w:pPr>
        <w:spacing w:before="75" w:after="0"/>
      </w:pPr>
      <w:r>
        <w:rPr/>
        <w:t xml:space="preserve">第三节 绩效考核新体系</w:t>
      </w:r>
    </w:p>
    <w:p>
      <w:pPr>
        <w:spacing w:before="75" w:after="0"/>
      </w:pPr>
      <w:r>
        <w:rPr/>
        <w:t xml:space="preserve">一、机器人催收质量评估标准</w:t>
      </w:r>
    </w:p>
    <w:p>
      <w:pPr>
        <w:spacing w:before="75" w:after="0"/>
      </w:pPr>
      <w:r>
        <w:rPr/>
        <w:t xml:space="preserve">二、人工坐席效能综合评价</w:t>
      </w:r>
    </w:p>
    <w:p>
      <w:pPr>
        <w:spacing w:before="75" w:after="0"/>
      </w:pPr>
      <w:r>
        <w:rPr/>
        <w:t xml:space="preserve">三、合规性权重提升趋势</w:t>
      </w:r>
    </w:p>
    <w:p>
      <w:pPr>
        <w:spacing w:before="75" w:after="0"/>
      </w:pPr>
      <w:r>
        <w:rPr>
          <w:b w:val="1"/>
          <w:bCs w:val="1"/>
        </w:rPr>
        <w:t xml:space="preserve">第十三章 行业痛点与挑战</w:t>
      </w:r>
    </w:p>
    <w:p>
      <w:pPr>
        <w:spacing w:before="75" w:after="0"/>
      </w:pPr>
      <w:r>
        <w:rPr/>
        <w:t xml:space="preserve">第一节 合规成本攀升压力</w:t>
      </w:r>
    </w:p>
    <w:p>
      <w:pPr>
        <w:spacing w:before="75" w:after="0"/>
      </w:pPr>
      <w:r>
        <w:rPr/>
        <w:t xml:space="preserve">一、技术改造成本分摊机制</w:t>
      </w:r>
    </w:p>
    <w:p>
      <w:pPr>
        <w:spacing w:before="75" w:after="0"/>
      </w:pPr>
      <w:r>
        <w:rPr/>
        <w:t xml:space="preserve">二、合规人员配置增加影响</w:t>
      </w:r>
    </w:p>
    <w:p>
      <w:pPr>
        <w:spacing w:before="75" w:after="0"/>
      </w:pPr>
      <w:r>
        <w:rPr/>
        <w:t xml:space="preserve">三、违规处罚成本量化分析</w:t>
      </w:r>
    </w:p>
    <w:p>
      <w:pPr>
        <w:spacing w:before="75" w:after="0"/>
      </w:pPr>
      <w:r>
        <w:rPr/>
        <w:t xml:space="preserve">第二节 债务人对抗升级</w:t>
      </w:r>
    </w:p>
    <w:p>
      <w:pPr>
        <w:spacing w:before="75" w:after="0"/>
      </w:pPr>
      <w:r>
        <w:rPr/>
        <w:t xml:space="preserve">一、反催收“黑灰产”产业链规模</w:t>
      </w:r>
    </w:p>
    <w:p>
      <w:pPr>
        <w:spacing w:before="75" w:after="0"/>
      </w:pPr>
      <w:r>
        <w:rPr/>
        <w:t xml:space="preserve">二、恶意投诉与举证难度</w:t>
      </w:r>
    </w:p>
    <w:p>
      <w:pPr>
        <w:spacing w:before="75" w:after="0"/>
      </w:pPr>
      <w:r>
        <w:rPr/>
        <w:t xml:space="preserve">三、债务人失联率上升趋势</w:t>
      </w:r>
    </w:p>
    <w:p>
      <w:pPr>
        <w:spacing w:before="75" w:after="0"/>
      </w:pPr>
      <w:r>
        <w:rPr/>
        <w:t xml:space="preserve">第三节 技术与人才瓶颈</w:t>
      </w:r>
    </w:p>
    <w:p>
      <w:pPr>
        <w:spacing w:before="75" w:after="0"/>
      </w:pPr>
      <w:r>
        <w:rPr/>
        <w:t xml:space="preserve">一、ai模型训练数据获取难度</w:t>
      </w:r>
    </w:p>
    <w:p>
      <w:pPr>
        <w:spacing w:before="75" w:after="0"/>
      </w:pPr>
      <w:r>
        <w:rPr/>
        <w:t xml:space="preserve">二、催收科技人才缺口规模</w:t>
      </w:r>
    </w:p>
    <w:p>
      <w:pPr>
        <w:spacing w:before="75" w:after="0"/>
      </w:pPr>
      <w:r>
        <w:rPr/>
        <w:t xml:space="preserve">三、技术迭代与投资回报矛盾</w:t>
      </w:r>
    </w:p>
    <w:p>
      <w:pPr>
        <w:spacing w:before="75" w:after="0"/>
      </w:pPr>
      <w:r>
        <w:rPr>
          <w:b w:val="1"/>
          <w:bCs w:val="1"/>
        </w:rPr>
        <w:t xml:space="preserve">第十四章 未来五年发展趋势</w:t>
      </w:r>
    </w:p>
    <w:p>
      <w:pPr>
        <w:spacing w:before="75" w:after="0"/>
      </w:pPr>
      <w:r>
        <w:rPr/>
        <w:t xml:space="preserve">第一节 技术演进路线</w:t>
      </w:r>
    </w:p>
    <w:p>
      <w:pPr>
        <w:spacing w:before="75" w:after="0"/>
      </w:pPr>
      <w:r>
        <w:rPr/>
        <w:t xml:space="preserve">一、2026-2031年ai技术渗透率预测</w:t>
      </w:r>
    </w:p>
    <w:p>
      <w:pPr>
        <w:spacing w:before="75" w:after="0"/>
      </w:pPr>
      <w:r>
        <w:rPr/>
        <w:t xml:space="preserve">二、多模态交互技术应用前景</w:t>
      </w:r>
    </w:p>
    <w:p>
      <w:pPr>
        <w:spacing w:before="75" w:after="0"/>
      </w:pPr>
      <w:r>
        <w:rPr/>
        <w:t xml:space="preserve">三、联邦学习在催收场景落地</w:t>
      </w:r>
    </w:p>
    <w:p>
      <w:pPr>
        <w:spacing w:before="75" w:after="0"/>
      </w:pPr>
      <w:r>
        <w:rPr/>
        <w:t xml:space="preserve">第二节 商业模式变革</w:t>
      </w:r>
    </w:p>
    <w:p>
      <w:pPr>
        <w:spacing w:before="75" w:after="0"/>
      </w:pPr>
      <w:r>
        <w:rPr/>
        <w:t xml:space="preserve">一、按效果付费模式普及度</w:t>
      </w:r>
    </w:p>
    <w:p>
      <w:pPr>
        <w:spacing w:before="75" w:after="0"/>
      </w:pPr>
      <w:r>
        <w:rPr/>
        <w:t xml:space="preserve">二、saas化催收系统输出趋势</w:t>
      </w:r>
    </w:p>
    <w:p>
      <w:pPr>
        <w:spacing w:before="75" w:after="0"/>
      </w:pPr>
      <w:r>
        <w:rPr/>
        <w:t xml:space="preserve">三、金融调解中心转型路径</w:t>
      </w:r>
    </w:p>
    <w:p>
      <w:pPr>
        <w:spacing w:before="75" w:after="0"/>
      </w:pPr>
      <w:r>
        <w:rPr/>
        <w:t xml:space="preserve">第三节 市场格局预测</w:t>
      </w:r>
    </w:p>
    <w:p>
      <w:pPr>
        <w:spacing w:before="75" w:after="0"/>
      </w:pPr>
      <w:r>
        <w:rPr/>
        <w:t xml:space="preserve">一、行业集中度进一步提升</w:t>
      </w:r>
    </w:p>
    <w:p>
      <w:pPr>
        <w:spacing w:before="75" w:after="0"/>
      </w:pPr>
      <w:r>
        <w:rPr/>
        <w:t xml:space="preserve">二、技术服务商话语权增强</w:t>
      </w:r>
    </w:p>
    <w:p>
      <w:pPr>
        <w:spacing w:before="75" w:after="0"/>
      </w:pPr>
      <w:r>
        <w:rPr/>
        <w:t xml:space="preserve">三、跨行业并购整合趋势</w:t>
      </w:r>
    </w:p>
    <w:p>
      <w:pPr>
        <w:spacing w:before="75" w:after="0"/>
      </w:pPr>
      <w:r>
        <w:rPr>
          <w:b w:val="1"/>
          <w:bCs w:val="1"/>
        </w:rPr>
        <w:t xml:space="preserve">第十五章 投资价值与风险评估</w:t>
      </w:r>
    </w:p>
    <w:p>
      <w:pPr>
        <w:spacing w:before="75" w:after="0"/>
      </w:pPr>
      <w:r>
        <w:rPr/>
        <w:t xml:space="preserve">第一节 产业链投资机会</w:t>
      </w:r>
    </w:p>
    <w:p>
      <w:pPr>
        <w:spacing w:before="75" w:after="0"/>
      </w:pPr>
      <w:r>
        <w:rPr/>
        <w:t xml:space="preserve">一、智能催收系统供应商估值</w:t>
      </w:r>
    </w:p>
    <w:p>
      <w:pPr>
        <w:spacing w:before="75" w:after="0"/>
      </w:pPr>
      <w:r>
        <w:rPr/>
        <w:t xml:space="preserve">二、数据风控服务商增长潜力</w:t>
      </w:r>
    </w:p>
    <w:p>
      <w:pPr>
        <w:spacing w:before="75" w:after="0"/>
      </w:pPr>
      <w:r>
        <w:rPr/>
        <w:t xml:space="preserve">三、区域龙头催收机构价值</w:t>
      </w:r>
    </w:p>
    <w:p>
      <w:pPr>
        <w:spacing w:before="75" w:after="0"/>
      </w:pPr>
      <w:r>
        <w:rPr/>
        <w:t xml:space="preserve">第二节 细分领域投资热点</w:t>
      </w:r>
    </w:p>
    <w:p>
      <w:pPr>
        <w:spacing w:before="75" w:after="0"/>
      </w:pPr>
      <w:r>
        <w:rPr/>
        <w:t xml:space="preserve">一、信用卡催收业务稳定性</w:t>
      </w:r>
    </w:p>
    <w:p>
      <w:pPr>
        <w:spacing w:before="75" w:after="0"/>
      </w:pPr>
      <w:r>
        <w:rPr/>
        <w:t xml:space="preserve">二、网贷催收技术门槛溢价</w:t>
      </w:r>
    </w:p>
    <w:p>
      <w:pPr>
        <w:spacing w:before="75" w:after="0"/>
      </w:pPr>
      <w:r>
        <w:rPr/>
        <w:t xml:space="preserve">三、企业贷催收蓝海市场</w:t>
      </w:r>
    </w:p>
    <w:p>
      <w:pPr>
        <w:spacing w:before="75" w:after="0"/>
      </w:pPr>
      <w:r>
        <w:rPr/>
        <w:t xml:space="preserve">第三节 风险因素识别</w:t>
      </w:r>
    </w:p>
    <w:p>
      <w:pPr>
        <w:spacing w:before="75" w:after="0"/>
      </w:pPr>
      <w:r>
        <w:rPr/>
        <w:t xml:space="preserve">一、监管政策进一步收紧风险</w:t>
      </w:r>
    </w:p>
    <w:p>
      <w:pPr>
        <w:spacing w:before="75" w:after="0"/>
      </w:pPr>
      <w:r>
        <w:rPr/>
        <w:t xml:space="preserve">二、技术替代导致的估值调整</w:t>
      </w:r>
    </w:p>
    <w:p>
      <w:pPr>
        <w:spacing w:before="75" w:after="0"/>
      </w:pPr>
      <w:r>
        <w:rPr/>
        <w:t xml:space="preserve">三、不良资产供给波动风险</w:t>
      </w:r>
    </w:p>
    <w:p>
      <w:pPr>
        <w:spacing w:before="75" w:after="0"/>
      </w:pPr>
      <w:r>
        <w:rPr>
          <w:b w:val="1"/>
          <w:bCs w:val="1"/>
        </w:rPr>
        <w:t xml:space="preserve">第十六章 战略发展路径建议</w:t>
      </w:r>
    </w:p>
    <w:p>
      <w:pPr>
        <w:spacing w:before="75" w:after="0"/>
      </w:pPr>
      <w:r>
        <w:rPr/>
        <w:t xml:space="preserve">第一节 催收机构发展策略</w:t>
      </w:r>
    </w:p>
    <w:p>
      <w:pPr>
        <w:spacing w:before="75" w:after="0"/>
      </w:pPr>
      <w:r>
        <w:rPr/>
        <w:t xml:space="preserve">一、技术投入优先序与节奏</w:t>
      </w:r>
    </w:p>
    <w:p>
      <w:pPr>
        <w:spacing w:before="75" w:after="0"/>
      </w:pPr>
      <w:r>
        <w:rPr/>
        <w:t xml:space="preserve">二、合规能力建设路线图</w:t>
      </w:r>
    </w:p>
    <w:p>
      <w:pPr>
        <w:spacing w:before="75" w:after="0"/>
      </w:pPr>
      <w:r>
        <w:rPr/>
        <w:t xml:space="preserve">三、差异化定位与品牌建设</w:t>
      </w:r>
    </w:p>
    <w:p>
      <w:pPr>
        <w:spacing w:before="75" w:after="0"/>
      </w:pPr>
      <w:r>
        <w:rPr/>
        <w:t xml:space="preserve">第二节 技术服务商增长建议</w:t>
      </w:r>
    </w:p>
    <w:p>
      <w:pPr>
        <w:spacing w:before="75" w:after="0"/>
      </w:pPr>
      <w:r>
        <w:rPr/>
        <w:t xml:space="preserve">一、垂直场景深度打磨</w:t>
      </w:r>
    </w:p>
    <w:p>
      <w:pPr>
        <w:spacing w:before="75" w:after="0"/>
      </w:pPr>
      <w:r>
        <w:rPr/>
        <w:t xml:space="preserve">二、生态合作网络构建</w:t>
      </w:r>
    </w:p>
    <w:p>
      <w:pPr>
        <w:spacing w:before="75" w:after="0"/>
      </w:pPr>
      <w:r>
        <w:rPr/>
        <w:t xml:space="preserve">三、出海市场拓展可行性</w:t>
      </w:r>
    </w:p>
    <w:p>
      <w:pPr>
        <w:spacing w:before="75" w:after="0"/>
      </w:pPr>
      <w:r>
        <w:rPr/>
        <w:t xml:space="preserve">第三节 金融机构合作策略</w:t>
      </w:r>
    </w:p>
    <w:p>
      <w:pPr>
        <w:spacing w:before="75" w:after="0"/>
      </w:pPr>
      <w:r>
        <w:rPr/>
        <w:t xml:space="preserve">一、委外催收供应商选择标准</w:t>
      </w:r>
    </w:p>
    <w:p>
      <w:pPr>
        <w:spacing w:before="75" w:after="0"/>
      </w:pPr>
      <w:r>
        <w:rPr/>
        <w:t xml:space="preserve">二、催收过程管理优化</w:t>
      </w:r>
    </w:p>
    <w:p>
      <w:pPr>
        <w:spacing w:before="75" w:after="0"/>
      </w:pPr>
      <w:r>
        <w:rPr/>
        <w:t xml:space="preserve">三、自建团队与外包平衡</w:t>
      </w:r>
    </w:p>
    <w:p>
      <w:pPr>
        <w:spacing w:before="75" w:after="0"/>
      </w:pPr>
      <w:r>
        <w:rPr>
          <w:b w:val="1"/>
          <w:bCs w:val="1"/>
        </w:rPr>
        <w:t xml:space="preserve">图表目录</w:t>
      </w:r>
    </w:p>
    <w:p>
      <w:pPr>
        <w:spacing w:before="75" w:after="0"/>
      </w:pPr>
      <w:r>
        <w:rPr/>
        <w:t xml:space="preserve">图表：2023-2025年中国电话催收行业市场规模及增长率</w:t>
      </w:r>
    </w:p>
    <w:p>
      <w:pPr>
        <w:spacing w:before="75" w:after="0"/>
      </w:pPr>
      <w:r>
        <w:rPr/>
        <w:t xml:space="preserve">图表：2026-2031年电话催收行业规模预测模型</w:t>
      </w:r>
    </w:p>
    <w:p>
      <w:pPr>
        <w:spacing w:before="75" w:after="0"/>
      </w:pPr>
      <w:r>
        <w:rPr/>
        <w:t xml:space="preserve">图表：宏观经济指标与逾期率相关性散点图</w:t>
      </w:r>
    </w:p>
    <w:p>
      <w:pPr>
        <w:spacing w:before="75" w:after="0"/>
      </w:pPr>
      <w:r>
        <w:rPr/>
        <w:t xml:space="preserve">图表：全球电话催收市场规模区域分布对比</w:t>
      </w:r>
    </w:p>
    <w:p>
      <w:pPr>
        <w:spacing w:before="75" w:after="0"/>
      </w:pPr>
      <w:r>
        <w:rPr/>
        <w:t xml:space="preserve">图表：国际智能催收技术应用成熟度曲线</w:t>
      </w:r>
    </w:p>
    <w:p>
      <w:pPr>
        <w:spacing w:before="75" w:after="0"/>
      </w:pPr>
      <w:r>
        <w:rPr/>
        <w:t xml:space="preserve">图表：2023-2025年电话催收服务订单量变化</w:t>
      </w:r>
    </w:p>
    <w:p>
      <w:pPr>
        <w:spacing w:before="75" w:after="0"/>
      </w:pPr>
      <w:r>
        <w:rPr/>
        <w:t xml:space="preserve">图表：2026-2031年不良资产供给规模预测</w:t>
      </w:r>
    </w:p>
    <w:p>
      <w:pPr>
        <w:spacing w:before="75" w:after="0"/>
      </w:pPr>
      <w:r>
        <w:rPr/>
        <w:t xml:space="preserve">图表：行业供需缺口区域热力图</w:t>
      </w:r>
    </w:p>
    <w:p>
      <w:pPr>
        <w:spacing w:before="75" w:after="0"/>
      </w:pPr>
      <w:r>
        <w:rPr/>
        <w:t xml:space="preserve">图表：信用卡逾期资产规模与回收率对比</w:t>
      </w:r>
    </w:p>
    <w:p>
      <w:pPr>
        <w:spacing w:before="75" w:after="0"/>
      </w:pPr>
      <w:r>
        <w:rPr/>
        <w:t xml:space="preserve">图表：网络消费信贷逾期金额区间分布</w:t>
      </w:r>
    </w:p>
    <w:p>
      <w:pPr>
        <w:spacing w:before="75" w:after="0"/>
      </w:pPr>
      <w:r>
        <w:rPr/>
        <w:t xml:space="preserve">图表：不同资产类型催收成本结构</w:t>
      </w:r>
    </w:p>
    <w:p>
      <w:pPr>
        <w:spacing w:before="75" w:after="0"/>
      </w:pPr>
      <w:r>
        <w:rPr/>
        <w:t xml:space="preserve">图表：智能外呼系统技术架构演进图</w:t>
      </w:r>
    </w:p>
    <w:p>
      <w:pPr>
        <w:spacing w:before="75" w:after="0"/>
      </w:pPr>
      <w:r>
        <w:rPr/>
        <w:t xml:space="preserve">图表：ai催收机器人通话流程示意图</w:t>
      </w:r>
    </w:p>
    <w:p>
      <w:pPr>
        <w:spacing w:before="75" w:after="0"/>
      </w:pPr>
      <w:r>
        <w:rPr/>
        <w:t xml:space="preserve">图表：债务人画像标签体系分类</w:t>
      </w:r>
    </w:p>
    <w:p>
      <w:pPr>
        <w:spacing w:before="75" w:after="0"/>
      </w:pPr>
      <w:r>
        <w:rPr/>
        <w:t xml:space="preserve">图表：单坐席日通话量人机对比柱状图</w:t>
      </w:r>
    </w:p>
    <w:p>
      <w:pPr>
        <w:spacing w:before="75" w:after="0"/>
      </w:pPr>
      <w:r>
        <w:rPr/>
        <w:t xml:space="preserve">图表：智能催收系统roi测算模型</w:t>
      </w:r>
    </w:p>
    <w:p>
      <w:pPr>
        <w:spacing w:before="75" w:after="0"/>
      </w:pPr>
      <w:r>
        <w:rPr/>
        <w:t xml:space="preserve">图表：机器人催收成功率与投诉率趋势</w:t>
      </w:r>
    </w:p>
    <w:p>
      <w:pPr>
        <w:spacing w:before="75" w:after="0"/>
      </w:pPr>
      <w:r>
        <w:rPr/>
        <w:t xml:space="preserve">图表：催收频次控制系统技术实现逻辑</w:t>
      </w:r>
    </w:p>
    <w:p>
      <w:pPr>
        <w:spacing w:before="75" w:after="0"/>
      </w:pPr>
      <w:r>
        <w:rPr/>
        <w:t xml:space="preserve">图表：合作方管理全流程监控指标</w:t>
      </w:r>
    </w:p>
    <w:p>
      <w:pPr>
        <w:spacing w:before="75" w:after="0"/>
      </w:pPr>
      <w:r>
        <w:rPr/>
        <w:t xml:space="preserve">图表：数据安全防控体系框架</w:t>
      </w:r>
    </w:p>
    <w:p>
      <w:pPr>
        <w:spacing w:before="75" w:after="0"/>
      </w:pPr>
      <w:r>
        <w:rPr/>
        <w:t xml:space="preserve">图表：电话催收产业链价值分布饼图</w:t>
      </w:r>
    </w:p>
    <w:p>
      <w:pPr>
        <w:spacing w:before="75" w:after="0"/>
      </w:pPr>
      <w:r>
        <w:rPr/>
        <w:t xml:space="preserve">图表：上游技术服务商市场份额</w:t>
      </w:r>
    </w:p>
    <w:p>
      <w:pPr>
        <w:spacing w:before="75" w:after="0"/>
      </w:pPr>
      <w:r>
        <w:rPr/>
        <w:t xml:space="preserve">图表：下游金融机构需求结构变化</w:t>
      </w:r>
    </w:p>
    <w:p>
      <w:pPr>
        <w:spacing w:before="75" w:after="0"/>
      </w:pPr>
      <w:r>
        <w:rPr/>
        <w:t xml:space="preserve">图表：行业集中度cr5变化趋势</w:t>
      </w:r>
    </w:p>
    <w:p>
      <w:pPr>
        <w:spacing w:before="75" w:after="0"/>
      </w:pPr>
      <w:r>
        <w:rPr/>
        <w:t xml:space="preserve">图表：传统机构技术投入占比提升曲线</w:t>
      </w:r>
    </w:p>
    <w:p>
      <w:pPr>
        <w:spacing w:before="75" w:after="0"/>
      </w:pPr>
      <w:r>
        <w:rPr/>
        <w:t xml:space="preserve">图表：新兴科技催收企业估值水平</w:t>
      </w:r>
    </w:p>
    <w:p>
      <w:pPr>
        <w:spacing w:before="75" w:after="0"/>
      </w:pPr>
      <w:r>
        <w:rPr/>
        <w:t xml:space="preserve">图表：区域市场规模与增长率对比</w:t>
      </w:r>
    </w:p>
    <w:p>
      <w:pPr>
        <w:spacing w:before="75" w:after="0"/>
      </w:pPr>
      <w:r>
        <w:rPr/>
        <w:t xml:space="preserve">图表：各区域技术应用渗透率排名</w:t>
      </w:r>
    </w:p>
    <w:p>
      <w:pPr>
        <w:spacing w:before="75" w:after="0"/>
      </w:pPr>
      <w:r>
        <w:rPr/>
        <w:t xml:space="preserve">图表：中西部地区市场潜力评估</w:t>
      </w:r>
    </w:p>
    <w:p>
      <w:pPr>
        <w:spacing w:before="75" w:after="0"/>
      </w:pPr>
      <w:r>
        <w:rPr/>
        <w:t xml:space="preserve">图表：信用卡催收各阶段回收率对比</w:t>
      </w:r>
    </w:p>
    <w:p>
      <w:pPr>
        <w:spacing w:before="75" w:after="0"/>
      </w:pPr>
      <w:r>
        <w:rPr/>
        <w:t xml:space="preserve">图表：网贷催收多头借贷识别率</w:t>
      </w:r>
    </w:p>
    <w:p>
      <w:pPr>
        <w:spacing w:before="75" w:after="0"/>
      </w:pPr>
      <w:r>
        <w:rPr/>
        <w:t xml:space="preserve">图表：小微企业贷后催收周期分布</w:t>
      </w:r>
    </w:p>
    <w:p>
      <w:pPr>
        <w:spacing w:before="75" w:after="0"/>
      </w:pPr>
      <w:r>
        <w:rPr/>
        <w:t xml:space="preserve">图表：人机协同作业流程图</w:t>
      </w:r>
    </w:p>
    <w:p>
      <w:pPr>
        <w:spacing w:before="75" w:after="0"/>
      </w:pPr>
      <w:r>
        <w:rPr/>
        <w:t xml:space="preserve">图表：差异化催收策略效果对比</w:t>
      </w:r>
    </w:p>
    <w:p>
      <w:pPr>
        <w:spacing w:before="75" w:after="0"/>
      </w:pPr>
      <w:r>
        <w:rPr/>
        <w:t xml:space="preserve">图表：绩效考核指标权重变化</w:t>
      </w:r>
    </w:p>
    <w:p>
      <w:pPr>
        <w:spacing w:before="75" w:after="0"/>
      </w:pPr>
      <w:r>
        <w:rPr/>
        <w:t xml:space="preserve">图表：合规成本占收入比重变化</w:t>
      </w:r>
    </w:p>
    <w:p>
      <w:pPr>
        <w:spacing w:before="75" w:after="0"/>
      </w:pPr>
      <w:r>
        <w:rPr/>
        <w:t xml:space="preserve">图表：反催收“黑灰产”规模估算</w:t>
      </w:r>
    </w:p>
    <w:p>
      <w:pPr>
        <w:spacing w:before="75" w:after="0"/>
      </w:pPr>
      <w:r>
        <w:rPr/>
        <w:t xml:space="preserve">图表：催收科技人才供需缺口</w:t>
      </w:r>
    </w:p>
    <w:p>
      <w:pPr>
        <w:spacing w:before="75" w:after="0"/>
      </w:pPr>
      <w:r>
        <w:rPr/>
        <w:t xml:space="preserve">图表：2026-2031年ai技术渗透率预测</w:t>
      </w:r>
    </w:p>
    <w:p>
      <w:pPr>
        <w:spacing w:before="75" w:after="0"/>
      </w:pPr>
      <w:r>
        <w:rPr/>
        <w:t xml:space="preserve">图表：商业模式变革路径图</w:t>
      </w:r>
    </w:p>
    <w:p>
      <w:pPr>
        <w:spacing w:before="75" w:after="0"/>
      </w:pPr>
      <w:r>
        <w:rPr/>
        <w:t xml:space="preserve">图表：行业集中度提升趋势预测</w:t>
      </w:r>
    </w:p>
    <w:p>
      <w:pPr>
        <w:spacing w:before="75" w:after="0"/>
      </w:pPr>
      <w:r>
        <w:rPr/>
        <w:t xml:space="preserve">图表：产业链各环节投资吸引力评估</w:t>
      </w:r>
    </w:p>
    <w:p>
      <w:pPr>
        <w:spacing w:before="75" w:after="0"/>
      </w:pPr>
      <w:r>
        <w:rPr/>
        <w:t xml:space="preserve">图表：细分领域投资回报率对比</w:t>
      </w:r>
    </w:p>
    <w:p>
      <w:pPr>
        <w:spacing w:before="75" w:after="0"/>
      </w:pPr>
      <w:r>
        <w:rPr/>
        <w:t xml:space="preserve">图表：行业风险因素权重分布</w:t>
      </w:r>
    </w:p>
    <w:p>
      <w:pPr>
        <w:spacing w:before="75" w:after="0"/>
      </w:pPr>
      <w:r>
        <w:rPr/>
        <w:t xml:space="preserve">图表：催收机构技术投入路线图</w:t>
      </w:r>
    </w:p>
    <w:p>
      <w:pPr>
        <w:spacing w:before="75" w:after="0"/>
      </w:pPr>
      <w:r>
        <w:rPr/>
        <w:t xml:space="preserve">图表：技术服务商生态合作网络</w:t>
      </w:r>
    </w:p>
    <w:p>
      <w:pPr>
        <w:spacing w:before="75" w:after="0"/>
      </w:pPr>
      <w:r>
        <w:rPr/>
        <w:t xml:space="preserve">图表：金融机构委外管理优化框架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2026-2031年中国电话催收行业数字化转型与合规发展研究报告</dc:title>
  <dc:description>2026-2031年中国电话催收行业数字化转型与合规发展研究报告</dc:description>
  <dc:subject>2026-2031年中国电话催收行业数字化转型与合规发展研究报告</dc:subject>
  <cp:keywords>研究报告</cp:keywords>
  <cp:category>研究报告</cp:category>
  <cp:lastModifiedBy>北京中道泰和信息咨询有限公司</cp:lastModifiedBy>
  <dcterms:created xsi:type="dcterms:W3CDTF">2026-03-30T18:56:13+08:00</dcterms:created>
  <dcterms:modified xsi:type="dcterms:W3CDTF">2026-03-30T18:56:13+08:00</dcterms:modified>
</cp:coreProperties>
</file>

<file path=docProps/custom.xml><?xml version="1.0" encoding="utf-8"?>
<Properties xmlns="http://schemas.openxmlformats.org/officeDocument/2006/custom-properties" xmlns:vt="http://schemas.openxmlformats.org/officeDocument/2006/docPropsVTypes"/>
</file>