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2026-2031年中国后量子密码行业深度调研及发展前景预测报告</w:t>
      </w:r>
    </w:p>
    <w:p>
      <w:pPr>
        <w:spacing w:after="150"/>
      </w:pPr>
      <w:r>
        <w:rPr>
          <w:b w:val="1"/>
          <w:bCs w:val="1"/>
        </w:rPr>
        <w:t xml:space="preserve">报告简介</w:t>
      </w:r>
    </w:p>
    <w:p>
      <w:pPr>
        <w:spacing w:after="150"/>
      </w:pPr>
      <w:r>
        <w:rPr/>
        <w:t xml:space="preserve">后量子密码(Post-Quantum Cryptography，PQC)是专为抵御量子计算攻击而设计的新型公钥密码体系，其核心在于通过数学难题的量子计算抗性构建安全基础。传统密码算法(如RSA、椭圆曲线加密)的安全性依赖于大整数分解、离散对数等在经典计算机上难以高效求解的数学问题，但量子计算机的Shor算法可在多项式时间内破解这些难题，导致现有公钥体系面临失效风险。后量子密码则基于尚未被量子算法有效解决的数学困难问题，如格理论(最短向量问题SVP、最近向量问题CVP)、多变量二次方程组求解、编码理论中的译码难题(如McEliece体制)以及哈希函数的单向性等，通过重构密码算法结构，确保在量子计算环境下仍能提供可靠的安全保障。</w:t>
      </w:r>
    </w:p>
    <w:p>
      <w:pPr>
        <w:spacing w:after="150"/>
      </w:pPr>
      <w:r>
        <w:rPr/>
        <w:t xml:space="preserve">后量子密码行业研究报告主要分析了后量子密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后量子密码行业重点企业分析、子行业分析、区域市场分析、行业风险分析、行业发展前景预测及相关的经营、投资建议等。报告研究框架全面、严谨，分析内容客观、公正、系统，真实准确地反映了我国后量子密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后量子密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后量子密码行业基本概念与发展背景</w:t>
      </w:r>
    </w:p>
    <w:p>
      <w:pPr>
        <w:spacing w:before="75" w:after="0"/>
      </w:pPr>
      <w:r>
        <w:rPr/>
        <w:t xml:space="preserve">第一节 后量子密码的定义与技术内涵</w:t>
      </w:r>
    </w:p>
    <w:p>
      <w:pPr>
        <w:spacing w:before="75" w:after="0"/>
      </w:pPr>
      <w:r>
        <w:rPr/>
        <w:t xml:space="preserve">一、后量子密码的基本定义及其在信息安全体系中的定位</w:t>
      </w:r>
    </w:p>
    <w:p>
      <w:pPr>
        <w:spacing w:before="75" w:after="0"/>
      </w:pPr>
      <w:r>
        <w:rPr/>
        <w:t xml:space="preserve">二、后量子密码与传统公钥密码的根本性差异</w:t>
      </w:r>
    </w:p>
    <w:p>
      <w:pPr>
        <w:spacing w:before="75" w:after="0"/>
      </w:pPr>
      <w:r>
        <w:rPr/>
        <w:t xml:space="preserve">三、后量子密码应对量子计算威胁的核心机制</w:t>
      </w:r>
    </w:p>
    <w:p>
      <w:pPr>
        <w:spacing w:before="75" w:after="0"/>
      </w:pPr>
      <w:r>
        <w:rPr/>
        <w:t xml:space="preserve">第二节 后量子密码关键技术路线分类</w:t>
      </w:r>
    </w:p>
    <w:p>
      <w:pPr>
        <w:spacing w:before="75" w:after="0"/>
      </w:pPr>
      <w:r>
        <w:rPr/>
        <w:t xml:space="preserve">一、基于格的密码方案</w:t>
      </w:r>
    </w:p>
    <w:p>
      <w:pPr>
        <w:spacing w:before="75" w:after="0"/>
      </w:pPr>
      <w:r>
        <w:rPr/>
        <w:t xml:space="preserve">二、基于编码的密码方案</w:t>
      </w:r>
    </w:p>
    <w:p>
      <w:pPr>
        <w:spacing w:before="75" w:after="0"/>
      </w:pPr>
      <w:r>
        <w:rPr/>
        <w:t xml:space="preserve">三、基于多变量多项式的密码方案</w:t>
      </w:r>
    </w:p>
    <w:p>
      <w:pPr>
        <w:spacing w:before="75" w:after="0"/>
      </w:pPr>
      <w:r>
        <w:rPr/>
        <w:t xml:space="preserve">四、基于哈希的签名方案</w:t>
      </w:r>
    </w:p>
    <w:p>
      <w:pPr>
        <w:spacing w:before="75" w:after="0"/>
      </w:pPr>
      <w:r>
        <w:rPr/>
        <w:t xml:space="preserve">五、基于超奇异同源的密码方案</w:t>
      </w:r>
    </w:p>
    <w:p>
      <w:pPr>
        <w:spacing w:before="75" w:after="0"/>
      </w:pPr>
      <w:r>
        <w:rPr/>
        <w:t xml:space="preserve">第三节 密码敏捷性与后量子迁移基础</w:t>
      </w:r>
    </w:p>
    <w:p>
      <w:pPr>
        <w:spacing w:before="75" w:after="0"/>
      </w:pPr>
      <w:r>
        <w:rPr/>
        <w:t xml:space="preserve">一、密码敏捷性的定义与实现架构</w:t>
      </w:r>
    </w:p>
    <w:p>
      <w:pPr>
        <w:spacing w:before="75" w:after="0"/>
      </w:pPr>
      <w:r>
        <w:rPr/>
        <w:t xml:space="preserve">二、混合加密模式在迁移过程中的作用</w:t>
      </w:r>
    </w:p>
    <w:p>
      <w:pPr>
        <w:spacing w:before="75" w:after="0"/>
      </w:pPr>
      <w:r>
        <w:rPr/>
        <w:t xml:space="preserve">三、密钥管理、证书生命周期与协议层适配挑战</w:t>
      </w:r>
    </w:p>
    <w:p>
      <w:pPr>
        <w:spacing w:before="75" w:after="0"/>
      </w:pPr>
      <w:r>
        <w:rPr>
          <w:b w:val="1"/>
          <w:bCs w:val="1"/>
        </w:rPr>
        <w:t xml:space="preserve">第二章 全球后量子密码行业发展现状分析</w:t>
      </w:r>
    </w:p>
    <w:p>
      <w:pPr>
        <w:spacing w:before="75" w:after="0"/>
      </w:pPr>
      <w:r>
        <w:rPr/>
        <w:t xml:space="preserve">第一节 国际标准化进程与政策推动</w:t>
      </w:r>
    </w:p>
    <w:p>
      <w:pPr>
        <w:spacing w:before="75" w:after="0"/>
      </w:pPr>
      <w:r>
        <w:rPr/>
        <w:t xml:space="preserve">一、美国国家标准与技术研究院(nist)pqc标准化时间线</w:t>
      </w:r>
    </w:p>
    <w:p>
      <w:pPr>
        <w:spacing w:before="75" w:after="0"/>
      </w:pPr>
      <w:r>
        <w:rPr/>
        <w:t xml:space="preserve">二、欧洲电信标准协会(etsi)与欧盟enisa后量子安全路线图</w:t>
      </w:r>
    </w:p>
    <w:p>
      <w:pPr>
        <w:spacing w:before="75" w:after="0"/>
      </w:pPr>
      <w:r>
        <w:rPr/>
        <w:t xml:space="preserve">三、日本、韩国、加拿大等国家政府支持计划与试点项目</w:t>
      </w:r>
    </w:p>
    <w:p>
      <w:pPr>
        <w:spacing w:before="75" w:after="0"/>
      </w:pPr>
      <w:r>
        <w:rPr/>
        <w:t xml:space="preserve">第二节 全球市场规模与区域分布</w:t>
      </w:r>
    </w:p>
    <w:p>
      <w:pPr>
        <w:spacing w:before="75" w:after="0"/>
      </w:pPr>
      <w:r>
        <w:rPr/>
        <w:t xml:space="preserve">一、2023-2025年全球后量子密码市场容量(单位：亿美元)</w:t>
      </w:r>
    </w:p>
    <w:p>
      <w:pPr>
        <w:spacing w:before="75" w:after="0"/>
      </w:pPr>
      <w:r>
        <w:rPr/>
        <w:t xml:space="preserve">二、北美、欧洲、亚太及其他地区市场份额变化</w:t>
      </w:r>
    </w:p>
    <w:p>
      <w:pPr>
        <w:spacing w:before="75" w:after="0"/>
      </w:pPr>
      <w:r>
        <w:rPr/>
        <w:t xml:space="preserve">三、主要增长驱动因素：量子计算进展、合规要求、网络安全事件</w:t>
      </w:r>
    </w:p>
    <w:p>
      <w:pPr>
        <w:spacing w:before="75" w:after="0"/>
      </w:pPr>
      <w:r>
        <w:rPr/>
        <w:t xml:space="preserve">第三节 全球技术竞争格局与生态构建</w:t>
      </w:r>
    </w:p>
    <w:p>
      <w:pPr>
        <w:spacing w:before="75" w:after="0"/>
      </w:pPr>
      <w:r>
        <w:rPr/>
        <w:t xml:space="preserve">一、国际科技巨头布局</w:t>
      </w:r>
    </w:p>
    <w:p>
      <w:pPr>
        <w:spacing w:before="75" w:after="0"/>
      </w:pPr>
      <w:r>
        <w:rPr/>
        <w:t xml:space="preserve">二、专业pqc初创企业崛起</w:t>
      </w:r>
    </w:p>
    <w:p>
      <w:pPr>
        <w:spacing w:before="75" w:after="0"/>
      </w:pPr>
      <w:r>
        <w:rPr/>
        <w:t xml:space="preserve">三、开源社区与学术合作对技术扩散的影响</w:t>
      </w:r>
    </w:p>
    <w:p>
      <w:pPr>
        <w:spacing w:before="75" w:after="0"/>
      </w:pPr>
      <w:r>
        <w:rPr>
          <w:b w:val="1"/>
          <w:bCs w:val="1"/>
        </w:rPr>
        <w:t xml:space="preserve">第三章 中国后量子密码行业发展环境分析</w:t>
      </w:r>
    </w:p>
    <w:p>
      <w:pPr>
        <w:spacing w:before="75" w:after="0"/>
      </w:pPr>
      <w:r>
        <w:rPr/>
        <w:t xml:space="preserve">第一节 宏观政策与国家战略支撑</w:t>
      </w:r>
    </w:p>
    <w:p>
      <w:pPr>
        <w:spacing w:before="75" w:after="0"/>
      </w:pPr>
      <w:r>
        <w:rPr/>
        <w:t xml:space="preserve">一、《中华人民共和国密码法》对后量子密码的引导作用</w:t>
      </w:r>
    </w:p>
    <w:p>
      <w:pPr>
        <w:spacing w:before="75" w:after="0"/>
      </w:pPr>
      <w:r>
        <w:rPr/>
        <w:t xml:space="preserve">二、“十四五”国家信息化规划中量子安全相关内容</w:t>
      </w:r>
    </w:p>
    <w:p>
      <w:pPr>
        <w:spacing w:before="75" w:after="0"/>
      </w:pPr>
      <w:r>
        <w:rPr/>
        <w:t xml:space="preserve">三、关键信息基础设施安全保护条例对pqc部署的潜在要求</w:t>
      </w:r>
    </w:p>
    <w:p>
      <w:pPr>
        <w:spacing w:before="75" w:after="0"/>
      </w:pPr>
      <w:r>
        <w:rPr/>
        <w:t xml:space="preserve">第二节 技术创新与科研基础</w:t>
      </w:r>
    </w:p>
    <w:p>
      <w:pPr>
        <w:spacing w:before="75" w:after="0"/>
      </w:pPr>
      <w:r>
        <w:rPr/>
        <w:t xml:space="preserve">一、国家重点研发计划“网络空间安全”专项支持情况</w:t>
      </w:r>
    </w:p>
    <w:p>
      <w:pPr>
        <w:spacing w:before="75" w:after="0"/>
      </w:pPr>
      <w:r>
        <w:rPr/>
        <w:t xml:space="preserve">二、清华大学、中国科学技术大学、中科院信息工程研究所等机构成果</w:t>
      </w:r>
    </w:p>
    <w:p>
      <w:pPr>
        <w:spacing w:before="75" w:after="0"/>
      </w:pPr>
      <w:r>
        <w:rPr/>
        <w:t xml:space="preserve">三、国家密码管理局推动的pqc算法征集与评估机制</w:t>
      </w:r>
    </w:p>
    <w:p>
      <w:pPr>
        <w:spacing w:before="75" w:after="0"/>
      </w:pPr>
      <w:r>
        <w:rPr/>
        <w:t xml:space="preserve">第三节 产业生态与资本支持</w:t>
      </w:r>
    </w:p>
    <w:p>
      <w:pPr>
        <w:spacing w:before="75" w:after="0"/>
      </w:pPr>
      <w:r>
        <w:rPr/>
        <w:t xml:space="preserve">一、2023-2025年国内pqc相关融资事件统计</w:t>
      </w:r>
    </w:p>
    <w:p>
      <w:pPr>
        <w:spacing w:before="75" w:after="0"/>
      </w:pPr>
      <w:r>
        <w:rPr/>
        <w:t xml:space="preserve">二、科创板对密码安全类企业的上市通道优势</w:t>
      </w:r>
    </w:p>
    <w:p>
      <w:pPr>
        <w:spacing w:before="75" w:after="0"/>
      </w:pPr>
      <w:r>
        <w:rPr/>
        <w:t xml:space="preserve">三、地方政府产业园区对pqc企业的落地扶持政策</w:t>
      </w:r>
    </w:p>
    <w:p>
      <w:pPr>
        <w:spacing w:before="75" w:after="0"/>
      </w:pPr>
      <w:r>
        <w:rPr>
          <w:b w:val="1"/>
          <w:bCs w:val="1"/>
        </w:rPr>
        <w:t xml:space="preserve">第四章 中国后量子密码市场运行分析</w:t>
      </w:r>
    </w:p>
    <w:p>
      <w:pPr>
        <w:spacing w:before="75" w:after="0"/>
      </w:pPr>
      <w:r>
        <w:rPr/>
        <w:t xml:space="preserve">第一节 市场规模与结构特征</w:t>
      </w:r>
    </w:p>
    <w:p>
      <w:pPr>
        <w:spacing w:before="75" w:after="0"/>
      </w:pPr>
      <w:r>
        <w:rPr/>
        <w:t xml:space="preserve">一、2023-2025年中国后量子密码行业市场规模(亿元人民币)</w:t>
      </w:r>
    </w:p>
    <w:p>
      <w:pPr>
        <w:spacing w:before="75" w:after="0"/>
      </w:pPr>
      <w:r>
        <w:rPr/>
        <w:t xml:space="preserve">二、软件、硬件、服务三大细分市场占比变化</w:t>
      </w:r>
    </w:p>
    <w:p>
      <w:pPr>
        <w:spacing w:before="75" w:after="0"/>
      </w:pPr>
      <w:r>
        <w:rPr/>
        <w:t xml:space="preserve">三、政府采购、金融自建、互联网平台采购比例分析</w:t>
      </w:r>
    </w:p>
    <w:p>
      <w:pPr>
        <w:spacing w:before="75" w:after="0"/>
      </w:pPr>
      <w:r>
        <w:rPr/>
        <w:t xml:space="preserve">第二节 产品形态与技术成熟度</w:t>
      </w:r>
    </w:p>
    <w:p>
      <w:pPr>
        <w:spacing w:before="75" w:after="0"/>
      </w:pPr>
      <w:r>
        <w:rPr/>
        <w:t xml:space="preserve">一、pqc算法库、sdk、api接口产品化程度</w:t>
      </w:r>
    </w:p>
    <w:p>
      <w:pPr>
        <w:spacing w:before="75" w:after="0"/>
      </w:pPr>
      <w:r>
        <w:rPr/>
        <w:t xml:space="preserve">二、支持pqc的密码机、智能密钥、安全网关等硬件出货量</w:t>
      </w:r>
    </w:p>
    <w:p>
      <w:pPr>
        <w:spacing w:before="75" w:after="0"/>
      </w:pPr>
      <w:r>
        <w:rPr/>
        <w:t xml:space="preserve">三、云原生pqc服务(pqcaas)初步商业化探索</w:t>
      </w:r>
    </w:p>
    <w:p>
      <w:pPr>
        <w:spacing w:before="75" w:after="0"/>
      </w:pPr>
      <w:r>
        <w:rPr/>
        <w:t xml:space="preserve">第三节 区域发展格局与产业集群</w:t>
      </w:r>
    </w:p>
    <w:p>
      <w:pPr>
        <w:spacing w:before="75" w:after="0"/>
      </w:pPr>
      <w:r>
        <w:rPr/>
        <w:t xml:space="preserve">一、北京、上海、深圳、杭州等地pqc企业聚集效应</w:t>
      </w:r>
    </w:p>
    <w:p>
      <w:pPr>
        <w:spacing w:before="75" w:after="0"/>
      </w:pPr>
      <w:r>
        <w:rPr/>
        <w:t xml:space="preserve">二、成渝、武汉、西安等中西部城市试点应用进展</w:t>
      </w:r>
    </w:p>
    <w:p>
      <w:pPr>
        <w:spacing w:before="75" w:after="0"/>
      </w:pPr>
      <w:r>
        <w:rPr/>
        <w:t xml:space="preserve">三、地方专项政策对比：补贴、测试平台、人才引进</w:t>
      </w:r>
    </w:p>
    <w:p>
      <w:pPr>
        <w:spacing w:before="75" w:after="0"/>
      </w:pPr>
      <w:r>
        <w:rPr>
          <w:b w:val="1"/>
          <w:bCs w:val="1"/>
        </w:rPr>
        <w:t xml:space="preserve">第五章 后量子密码产品分类与技术体系详解</w:t>
      </w:r>
    </w:p>
    <w:p>
      <w:pPr>
        <w:spacing w:before="75" w:after="0"/>
      </w:pPr>
      <w:r>
        <w:rPr/>
        <w:t xml:space="preserve">第一节 软件类产品</w:t>
      </w:r>
    </w:p>
    <w:p>
      <w:pPr>
        <w:spacing w:before="75" w:after="0"/>
      </w:pPr>
      <w:r>
        <w:rPr/>
        <w:t xml:space="preserve">一、通用pqc算法库(c/c++、java、python等语言支持)</w:t>
      </w:r>
    </w:p>
    <w:p>
      <w:pPr>
        <w:spacing w:before="75" w:after="0"/>
      </w:pPr>
      <w:r>
        <w:rPr/>
        <w:t xml:space="preserve">二、tls 1.3扩展模块与pqc兼容中间件</w:t>
      </w:r>
    </w:p>
    <w:p>
      <w:pPr>
        <w:spacing w:before="75" w:after="0"/>
      </w:pPr>
      <w:r>
        <w:rPr/>
        <w:t xml:space="preserve">三、密钥管理系统(kms)对pqc的支持能力</w:t>
      </w:r>
    </w:p>
    <w:p>
      <w:pPr>
        <w:spacing w:before="75" w:after="0"/>
      </w:pPr>
      <w:r>
        <w:rPr/>
        <w:t xml:space="preserve">第二节 硬件类产品</w:t>
      </w:r>
    </w:p>
    <w:p>
      <w:pPr>
        <w:spacing w:before="75" w:after="0"/>
      </w:pPr>
      <w:r>
        <w:rPr/>
        <w:t xml:space="preserve">一、服务器密码机、金融数据密码机集成pqc能力</w:t>
      </w:r>
    </w:p>
    <w:p>
      <w:pPr>
        <w:spacing w:before="75" w:after="0"/>
      </w:pPr>
      <w:r>
        <w:rPr/>
        <w:t xml:space="preserve">二、usb key、智能ic卡等终端设备轻量化pqc实现</w:t>
      </w:r>
    </w:p>
    <w:p>
      <w:pPr>
        <w:spacing w:before="75" w:after="0"/>
      </w:pPr>
      <w:r>
        <w:rPr/>
        <w:t xml:space="preserve">三、专用pqc加速芯片与fpga原型验证</w:t>
      </w:r>
    </w:p>
    <w:p>
      <w:pPr>
        <w:spacing w:before="75" w:after="0"/>
      </w:pPr>
      <w:r>
        <w:rPr/>
        <w:t xml:space="preserve">第三节 服务与解决方案</w:t>
      </w:r>
    </w:p>
    <w:p>
      <w:pPr>
        <w:spacing w:before="75" w:after="0"/>
      </w:pPr>
      <w:r>
        <w:rPr/>
        <w:t xml:space="preserve">一、pqc迁移咨询与风险评估服务</w:t>
      </w:r>
    </w:p>
    <w:p>
      <w:pPr>
        <w:spacing w:before="75" w:after="0"/>
      </w:pPr>
      <w:r>
        <w:rPr/>
        <w:t xml:space="preserve">二、混合加密系统设计与部署服务</w:t>
      </w:r>
    </w:p>
    <w:p>
      <w:pPr>
        <w:spacing w:before="75" w:after="0"/>
      </w:pPr>
      <w:r>
        <w:rPr/>
        <w:t xml:space="preserve">三、密码敏捷架构改造整体解决方案</w:t>
      </w:r>
    </w:p>
    <w:p>
      <w:pPr>
        <w:spacing w:before="75" w:after="0"/>
      </w:pPr>
      <w:r>
        <w:rPr>
          <w:b w:val="1"/>
          <w:bCs w:val="1"/>
        </w:rPr>
        <w:t xml:space="preserve">第六章 密码敏捷性与后量子迁移路径分析</w:t>
      </w:r>
    </w:p>
    <w:p>
      <w:pPr>
        <w:spacing w:before="75" w:after="0"/>
      </w:pPr>
      <w:r>
        <w:rPr/>
        <w:t xml:space="preserve">第一节 密码敏捷架构设计原则</w:t>
      </w:r>
    </w:p>
    <w:p>
      <w:pPr>
        <w:spacing w:before="75" w:after="0"/>
      </w:pPr>
      <w:r>
        <w:rPr/>
        <w:t xml:space="preserve">一、协议层、应用层、密钥管理层的解耦机制</w:t>
      </w:r>
    </w:p>
    <w:p>
      <w:pPr>
        <w:spacing w:before="75" w:after="0"/>
      </w:pPr>
      <w:r>
        <w:rPr/>
        <w:t xml:space="preserve">二、动态算法切换与回滚能力实现</w:t>
      </w:r>
    </w:p>
    <w:p>
      <w:pPr>
        <w:spacing w:before="75" w:after="0"/>
      </w:pPr>
      <w:r>
        <w:rPr/>
        <w:t xml:space="preserve">三、与现有pki/ca体系的兼容策略</w:t>
      </w:r>
    </w:p>
    <w:p>
      <w:pPr>
        <w:spacing w:before="75" w:after="0"/>
      </w:pPr>
      <w:r>
        <w:rPr/>
        <w:t xml:space="preserve">第二节 迁移阶段划分与实施路线</w:t>
      </w:r>
    </w:p>
    <w:p>
      <w:pPr>
        <w:spacing w:before="75" w:after="0"/>
      </w:pPr>
      <w:r>
        <w:rPr/>
        <w:t xml:space="preserve">一、评估阶段(2023-2025年)：资产盘点、风险识别、poc验证</w:t>
      </w:r>
    </w:p>
    <w:p>
      <w:pPr>
        <w:spacing w:before="75" w:after="0"/>
      </w:pPr>
      <w:r>
        <w:rPr/>
        <w:t xml:space="preserve">二、试点阶段(2026-2027年)：重点行业小范围部署</w:t>
      </w:r>
    </w:p>
    <w:p>
      <w:pPr>
        <w:spacing w:before="75" w:after="0"/>
      </w:pPr>
      <w:r>
        <w:rPr/>
        <w:t xml:space="preserve">三、规模化阶段(2028-2030年)：强制替换与全面商用</w:t>
      </w:r>
    </w:p>
    <w:p>
      <w:pPr>
        <w:spacing w:before="75" w:after="0"/>
      </w:pPr>
      <w:r>
        <w:rPr/>
        <w:t xml:space="preserve">第三节 迁移成本与性能影响实测</w:t>
      </w:r>
    </w:p>
    <w:p>
      <w:pPr>
        <w:spacing w:before="75" w:after="0"/>
      </w:pPr>
      <w:r>
        <w:rPr/>
        <w:t xml:space="preserve">一、2023-2025年典型场景pqc性能开销测试数据(密钥生成、签名、验证时间)</w:t>
      </w:r>
    </w:p>
    <w:p>
      <w:pPr>
        <w:spacing w:before="75" w:after="0"/>
      </w:pPr>
      <w:r>
        <w:rPr/>
        <w:t xml:space="preserve">二、带宽、存储、计算资源增量分析</w:t>
      </w:r>
    </w:p>
    <w:p>
      <w:pPr>
        <w:spacing w:before="75" w:after="0"/>
      </w:pPr>
      <w:r>
        <w:rPr/>
        <w:t xml:space="preserve">三、不同行业可接受性能阈值调研结果</w:t>
      </w:r>
    </w:p>
    <w:p>
      <w:pPr>
        <w:spacing w:before="75" w:after="0"/>
      </w:pPr>
      <w:r>
        <w:rPr>
          <w:b w:val="1"/>
          <w:bCs w:val="1"/>
        </w:rPr>
        <w:t xml:space="preserve">第七章 下游应用领域需求分析</w:t>
      </w:r>
    </w:p>
    <w:p>
      <w:pPr>
        <w:spacing w:before="75" w:after="0"/>
      </w:pPr>
      <w:r>
        <w:rPr/>
        <w:t xml:space="preserve">第一节 金融行业</w:t>
      </w:r>
    </w:p>
    <w:p>
      <w:pPr>
        <w:spacing w:before="75" w:after="0"/>
      </w:pPr>
      <w:r>
        <w:rPr/>
        <w:t xml:space="preserve">一、央行数字货币(dc/ep)对长期密钥安全的需求</w:t>
      </w:r>
    </w:p>
    <w:p>
      <w:pPr>
        <w:spacing w:before="75" w:after="0"/>
      </w:pPr>
      <w:r>
        <w:rPr/>
        <w:t xml:space="preserve">二、银行核心交易系统、跨境支付平台pqc改造计划</w:t>
      </w:r>
    </w:p>
    <w:p>
      <w:pPr>
        <w:spacing w:before="75" w:after="0"/>
      </w:pPr>
      <w:r>
        <w:rPr/>
        <w:t xml:space="preserve">三、证券登记结算、保险保单存证等场景适配性</w:t>
      </w:r>
    </w:p>
    <w:p>
      <w:pPr>
        <w:spacing w:before="75" w:after="0"/>
      </w:pPr>
      <w:r>
        <w:rPr/>
        <w:t xml:space="preserve">第二节 政务与关键信息基础设施</w:t>
      </w:r>
    </w:p>
    <w:p>
      <w:pPr>
        <w:spacing w:before="75" w:after="0"/>
      </w:pPr>
      <w:r>
        <w:rPr/>
        <w:t xml:space="preserve">一、国家电子政务外网pqc试点工程进展</w:t>
      </w:r>
    </w:p>
    <w:p>
      <w:pPr>
        <w:spacing w:before="75" w:after="0"/>
      </w:pPr>
      <w:r>
        <w:rPr/>
        <w:t xml:space="preserve">二、电力调度、轨道交通、水利监控系统安全加固需求</w:t>
      </w:r>
    </w:p>
    <w:p>
      <w:pPr>
        <w:spacing w:before="75" w:after="0"/>
      </w:pPr>
      <w:r>
        <w:rPr/>
        <w:t xml:space="preserve">三、密评(密码应用安全性评估)纳入pqc指标预期</w:t>
      </w:r>
    </w:p>
    <w:p>
      <w:pPr>
        <w:spacing w:before="75" w:after="0"/>
      </w:pPr>
      <w:r>
        <w:rPr/>
        <w:t xml:space="preserve">第三节 通信与互联网</w:t>
      </w:r>
    </w:p>
    <w:p>
      <w:pPr>
        <w:spacing w:before="75" w:after="0"/>
      </w:pPr>
      <w:r>
        <w:rPr/>
        <w:t xml:space="preserve">一、5g核心网信令面pqc可行性研究</w:t>
      </w:r>
    </w:p>
    <w:p>
      <w:pPr>
        <w:spacing w:before="75" w:after="0"/>
      </w:pPr>
      <w:r>
        <w:rPr/>
        <w:t xml:space="preserve">二、大型云服务商内部安全演进</w:t>
      </w:r>
    </w:p>
    <w:p>
      <w:pPr>
        <w:spacing w:before="75" w:after="0"/>
      </w:pPr>
      <w:r>
        <w:rPr/>
        <w:t xml:space="preserve">三、物联网设备固件签名与远程更新pqc方案</w:t>
      </w:r>
    </w:p>
    <w:p>
      <w:pPr>
        <w:spacing w:before="75" w:after="0"/>
      </w:pPr>
      <w:r>
        <w:rPr/>
        <w:t xml:space="preserve">第四节 国防与航天</w:t>
      </w:r>
    </w:p>
    <w:p>
      <w:pPr>
        <w:spacing w:before="75" w:after="0"/>
      </w:pPr>
      <w:r>
        <w:rPr/>
        <w:t xml:space="preserve">一、军用通信抗量子攻击能力建设要求</w:t>
      </w:r>
    </w:p>
    <w:p>
      <w:pPr>
        <w:spacing w:before="75" w:after="0"/>
      </w:pPr>
      <w:r>
        <w:rPr/>
        <w:t xml:space="preserve">二、卫星遥测遥控指令长期保密需求</w:t>
      </w:r>
    </w:p>
    <w:p>
      <w:pPr>
        <w:spacing w:before="75" w:after="0"/>
      </w:pPr>
      <w:r>
        <w:rPr/>
        <w:t xml:space="preserve">三、国产化替代背景下pqc自主可控优先级</w:t>
      </w:r>
    </w:p>
    <w:p>
      <w:pPr>
        <w:spacing w:before="75" w:after="0"/>
      </w:pPr>
      <w:r>
        <w:rPr>
          <w:b w:val="1"/>
          <w:bCs w:val="1"/>
        </w:rPr>
        <w:t xml:space="preserve">第八章 中国后量子密码行业领先企业分析</w:t>
      </w:r>
    </w:p>
    <w:p>
      <w:pPr>
        <w:spacing w:before="75" w:after="0"/>
      </w:pPr>
      <w:r>
        <w:rPr/>
        <w:t xml:space="preserve">第一节 中电科网络安全科技股份有限公司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第二节 启明星辰信息技术集团股份有限公司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第三节 天融信科技集团股份有限公司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第四节 三未信安科技股份有限公司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第五节 飞天诚信科技股份有限公司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第六节 数盾信息科技股份有限公司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第七节 北京格尔软件股份有限公司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t xml:space="preserve">第八节 中孚信息股份有限公司</w:t>
      </w:r>
    </w:p>
    <w:p>
      <w:pPr>
        <w:spacing w:before="75" w:after="0"/>
      </w:pPr>
      <w:r>
        <w:rPr/>
        <w:t xml:space="preserve">一、企业概况与发展历程</w:t>
      </w:r>
    </w:p>
    <w:p>
      <w:pPr>
        <w:spacing w:before="75" w:after="0"/>
      </w:pPr>
      <w:r>
        <w:rPr/>
        <w:t xml:space="preserve">二、核心业务与产品结构</w:t>
      </w:r>
    </w:p>
    <w:p>
      <w:pPr>
        <w:spacing w:before="75" w:after="0"/>
      </w:pPr>
      <w:r>
        <w:rPr/>
        <w:t xml:space="preserve">三、技术优势与创新能力</w:t>
      </w:r>
    </w:p>
    <w:p>
      <w:pPr>
        <w:spacing w:before="75" w:after="0"/>
      </w:pPr>
      <w:r>
        <w:rPr/>
        <w:t xml:space="preserve">四、市场份额与竞争地位</w:t>
      </w:r>
    </w:p>
    <w:p>
      <w:pPr>
        <w:spacing w:before="75" w:after="0"/>
      </w:pPr>
      <w:r>
        <w:rPr/>
        <w:t xml:space="preserve">五、未来发展战略与规划</w:t>
      </w:r>
    </w:p>
    <w:p>
      <w:pPr>
        <w:spacing w:before="75" w:after="0"/>
      </w:pPr>
      <w:r>
        <w:rPr>
          <w:b w:val="1"/>
          <w:bCs w:val="1"/>
        </w:rPr>
        <w:t xml:space="preserve">第九章 全球与中国后量子密码技术对比分析</w:t>
      </w:r>
    </w:p>
    <w:p>
      <w:pPr>
        <w:spacing w:before="75" w:after="0"/>
      </w:pPr>
      <w:r>
        <w:rPr/>
        <w:t xml:space="preserve">第一节 算法路线选择差异</w:t>
      </w:r>
    </w:p>
    <w:p>
      <w:pPr>
        <w:spacing w:before="75" w:after="0"/>
      </w:pPr>
      <w:r>
        <w:rPr/>
        <w:t xml:space="preserve">一、nist选定算法 vs 中国自主算法(如sm-pqc系列)</w:t>
      </w:r>
    </w:p>
    <w:p>
      <w:pPr>
        <w:spacing w:before="75" w:after="0"/>
      </w:pPr>
      <w:r>
        <w:rPr/>
        <w:t xml:space="preserve">二、专利自由实施(fto)风险对比</w:t>
      </w:r>
    </w:p>
    <w:p>
      <w:pPr>
        <w:spacing w:before="75" w:after="0"/>
      </w:pPr>
      <w:r>
        <w:rPr/>
        <w:t xml:space="preserve">三、性能、安全性、实现复杂度综合评估</w:t>
      </w:r>
    </w:p>
    <w:p>
      <w:pPr>
        <w:spacing w:before="75" w:after="0"/>
      </w:pPr>
      <w:r>
        <w:rPr/>
        <w:t xml:space="preserve">第二节 工程化与生态成熟度</w:t>
      </w:r>
    </w:p>
    <w:p>
      <w:pPr>
        <w:spacing w:before="75" w:after="0"/>
      </w:pPr>
      <w:r>
        <w:rPr/>
        <w:t xml:space="preserve">一、国际pqc开源库(open quantum safe)成熟度</w:t>
      </w:r>
    </w:p>
    <w:p>
      <w:pPr>
        <w:spacing w:before="75" w:after="0"/>
      </w:pPr>
      <w:r>
        <w:rPr/>
        <w:t xml:space="preserve">二、中国pqc参考实现与测试工具链短板</w:t>
      </w:r>
    </w:p>
    <w:p>
      <w:pPr>
        <w:spacing w:before="75" w:after="0"/>
      </w:pPr>
      <w:r>
        <w:rPr/>
        <w:t xml:space="preserve">三、开发者社区活跃度与文档完善度</w:t>
      </w:r>
    </w:p>
    <w:p>
      <w:pPr>
        <w:spacing w:before="75" w:after="0"/>
      </w:pPr>
      <w:r>
        <w:rPr/>
        <w:t xml:space="preserve">第三节 标准互认与出口合规</w:t>
      </w:r>
    </w:p>
    <w:p>
      <w:pPr>
        <w:spacing w:before="75" w:after="0"/>
      </w:pPr>
      <w:r>
        <w:rPr/>
        <w:t xml:space="preserve">一、中国pqc产品进入欧美市场的认证障碍</w:t>
      </w:r>
    </w:p>
    <w:p>
      <w:pPr>
        <w:spacing w:before="75" w:after="0"/>
      </w:pPr>
      <w:r>
        <w:rPr/>
        <w:t xml:space="preserve">二、gdpr、ccra等法规对pqc部署的影响</w:t>
      </w:r>
    </w:p>
    <w:p>
      <w:pPr>
        <w:spacing w:before="75" w:after="0"/>
      </w:pPr>
      <w:r>
        <w:rPr/>
        <w:t xml:space="preserve">三、一带一路国家技术标准跟随可能性</w:t>
      </w:r>
    </w:p>
    <w:p>
      <w:pPr>
        <w:spacing w:before="75" w:after="0"/>
      </w:pPr>
      <w:r>
        <w:rPr>
          <w:b w:val="1"/>
          <w:bCs w:val="1"/>
        </w:rPr>
        <w:t xml:space="preserve">第十章 中国后量子密码行业竞争格局分析</w:t>
      </w:r>
    </w:p>
    <w:p>
      <w:pPr>
        <w:spacing w:before="75" w:after="0"/>
      </w:pPr>
      <w:r>
        <w:rPr/>
        <w:t xml:space="preserve">第一节 市场集中度与竞争梯队</w:t>
      </w:r>
    </w:p>
    <w:p>
      <w:pPr>
        <w:spacing w:before="75" w:after="0"/>
      </w:pPr>
      <w:r>
        <w:rPr/>
        <w:t xml:space="preserve">一、cr5、hhi指数测算结果</w:t>
      </w:r>
    </w:p>
    <w:p>
      <w:pPr>
        <w:spacing w:before="75" w:after="0"/>
      </w:pPr>
      <w:r>
        <w:rPr/>
        <w:t xml:space="preserve">二、国家队(央企背景)、民营安全厂商、初创企业三分天下</w:t>
      </w:r>
    </w:p>
    <w:p>
      <w:pPr>
        <w:spacing w:before="75" w:after="0"/>
      </w:pPr>
      <w:r>
        <w:rPr/>
        <w:t xml:space="preserve">三、新进入者主要来自密码芯片与云安全领域</w:t>
      </w:r>
    </w:p>
    <w:p>
      <w:pPr>
        <w:spacing w:before="75" w:after="0"/>
      </w:pPr>
      <w:r>
        <w:rPr/>
        <w:t xml:space="preserve">第二节 商业模式创新</w:t>
      </w:r>
    </w:p>
    <w:p>
      <w:pPr>
        <w:spacing w:before="75" w:after="0"/>
      </w:pPr>
      <w:r>
        <w:rPr/>
        <w:t xml:space="preserve">一、按调用量计费的pqc api服务</w:t>
      </w:r>
    </w:p>
    <w:p>
      <w:pPr>
        <w:spacing w:before="75" w:after="0"/>
      </w:pPr>
      <w:r>
        <w:rPr/>
        <w:t xml:space="preserve">二、pqc即服务(pqcaas)订阅模式</w:t>
      </w:r>
    </w:p>
    <w:p>
      <w:pPr>
        <w:spacing w:before="75" w:after="0"/>
      </w:pPr>
      <w:r>
        <w:rPr/>
        <w:t xml:space="preserve">三、与操作系统、浏览器厂商预装合作</w:t>
      </w:r>
    </w:p>
    <w:p>
      <w:pPr>
        <w:spacing w:before="75" w:after="0"/>
      </w:pPr>
      <w:r>
        <w:rPr/>
        <w:t xml:space="preserve">第三节 并购与联盟动态</w:t>
      </w:r>
    </w:p>
    <w:p>
      <w:pPr>
        <w:spacing w:before="75" w:after="0"/>
      </w:pPr>
      <w:r>
        <w:rPr/>
        <w:t xml:space="preserve">一、2023-2025年行业并购事件梳理</w:t>
      </w:r>
    </w:p>
    <w:p>
      <w:pPr>
        <w:spacing w:before="75" w:after="0"/>
      </w:pPr>
      <w:r>
        <w:rPr/>
        <w:t xml:space="preserve">二、中国密码学会pqc工作组成员合作机制</w:t>
      </w:r>
    </w:p>
    <w:p>
      <w:pPr>
        <w:spacing w:before="75" w:after="0"/>
      </w:pPr>
      <w:r>
        <w:rPr/>
        <w:t xml:space="preserve">三、产学研联合实验室建设案例</w:t>
      </w:r>
    </w:p>
    <w:p>
      <w:pPr>
        <w:spacing w:before="75" w:after="0"/>
      </w:pPr>
      <w:r>
        <w:rPr>
          <w:b w:val="1"/>
          <w:bCs w:val="1"/>
        </w:rPr>
        <w:t xml:space="preserve">第十一章 2026-2031年中国后量子密码市场需求预测</w:t>
      </w:r>
    </w:p>
    <w:p>
      <w:pPr>
        <w:spacing w:before="75" w:after="0"/>
      </w:pPr>
      <w:r>
        <w:rPr/>
        <w:t xml:space="preserve">第一节 总体市场规模预测</w:t>
      </w:r>
    </w:p>
    <w:p>
      <w:pPr>
        <w:spacing w:before="75" w:after="0"/>
      </w:pPr>
      <w:r>
        <w:rPr/>
        <w:t xml:space="preserve">一、2026-2031年市场规模(亿元)及复合增长率</w:t>
      </w:r>
    </w:p>
    <w:p>
      <w:pPr>
        <w:spacing w:before="75" w:after="0"/>
      </w:pPr>
      <w:r>
        <w:rPr/>
        <w:t xml:space="preserve">二、分年度驱动因素：政策强制、事件催化、技术成熟</w:t>
      </w:r>
    </w:p>
    <w:p>
      <w:pPr>
        <w:spacing w:before="75" w:after="0"/>
      </w:pPr>
      <w:r>
        <w:rPr/>
        <w:t xml:space="preserve">三、潜在市场天花板与渗透率极限测算</w:t>
      </w:r>
    </w:p>
    <w:p>
      <w:pPr>
        <w:spacing w:before="75" w:after="0"/>
      </w:pPr>
      <w:r>
        <w:rPr/>
        <w:t xml:space="preserve">第二节 分产品需求预测</w:t>
      </w:r>
    </w:p>
    <w:p>
      <w:pPr>
        <w:spacing w:before="75" w:after="0"/>
      </w:pPr>
      <w:r>
        <w:rPr/>
        <w:t xml:space="preserve">一、pqc软件库与sdk市场占比提升趋势</w:t>
      </w:r>
    </w:p>
    <w:p>
      <w:pPr>
        <w:spacing w:before="75" w:after="0"/>
      </w:pPr>
      <w:r>
        <w:rPr/>
        <w:t xml:space="preserve">二、硬件安全模块(hsm、密码卡)需求爆发期(2028年起)</w:t>
      </w:r>
    </w:p>
    <w:p>
      <w:pPr>
        <w:spacing w:before="75" w:after="0"/>
      </w:pPr>
      <w:r>
        <w:rPr/>
        <w:t xml:space="preserve">三、迁移咨询与测试验证服务蓝海市场</w:t>
      </w:r>
    </w:p>
    <w:p>
      <w:pPr>
        <w:spacing w:before="75" w:after="0"/>
      </w:pPr>
      <w:r>
        <w:rPr/>
        <w:t xml:space="preserve">第三节 分行业需求预测</w:t>
      </w:r>
    </w:p>
    <w:p>
      <w:pPr>
        <w:spacing w:before="75" w:after="0"/>
      </w:pPr>
      <w:r>
        <w:rPr/>
        <w:t xml:space="preserve">一、金融行业2027年后进入强制迁移窗口</w:t>
      </w:r>
    </w:p>
    <w:p>
      <w:pPr>
        <w:spacing w:before="75" w:after="0"/>
      </w:pPr>
      <w:r>
        <w:rPr/>
        <w:t xml:space="preserve">二、政务系统2028年完成省级平台改造</w:t>
      </w:r>
    </w:p>
    <w:p>
      <w:pPr>
        <w:spacing w:before="75" w:after="0"/>
      </w:pPr>
      <w:r>
        <w:rPr/>
        <w:t xml:space="preserve">三、通信、能源、交通等行业2029-2030年跟进部署</w:t>
      </w:r>
    </w:p>
    <w:p>
      <w:pPr>
        <w:spacing w:before="75" w:after="0"/>
      </w:pPr>
      <w:r>
        <w:rPr>
          <w:b w:val="1"/>
          <w:bCs w:val="1"/>
        </w:rPr>
        <w:t xml:space="preserve">第十二章 供给能力与产业链安全分析</w:t>
      </w:r>
    </w:p>
    <w:p>
      <w:pPr>
        <w:spacing w:before="75" w:after="0"/>
      </w:pPr>
      <w:r>
        <w:rPr/>
        <w:t xml:space="preserve">第一节 研发投入与人才储备</w:t>
      </w:r>
    </w:p>
    <w:p>
      <w:pPr>
        <w:spacing w:before="75" w:after="0"/>
      </w:pPr>
      <w:r>
        <w:rPr/>
        <w:t xml:space="preserve">一、2023-2025年高校密码专业招生与就业数据</w:t>
      </w:r>
    </w:p>
    <w:p>
      <w:pPr>
        <w:spacing w:before="75" w:after="0"/>
      </w:pPr>
      <w:r>
        <w:rPr/>
        <w:t xml:space="preserve">二、企业研发人员占比与薪酬竞争力</w:t>
      </w:r>
    </w:p>
    <w:p>
      <w:pPr>
        <w:spacing w:before="75" w:after="0"/>
      </w:pPr>
      <w:r>
        <w:rPr/>
        <w:t xml:space="preserve">三、国家级重点实验室建设进展</w:t>
      </w:r>
    </w:p>
    <w:p>
      <w:pPr>
        <w:spacing w:before="75" w:after="0"/>
      </w:pPr>
      <w:r>
        <w:rPr/>
        <w:t xml:space="preserve">第二节 供应链安全与国产化</w:t>
      </w:r>
    </w:p>
    <w:p>
      <w:pPr>
        <w:spacing w:before="75" w:after="0"/>
      </w:pPr>
      <w:r>
        <w:rPr/>
        <w:t xml:space="preserve">一、pqc芯片依赖进口fpga风险分析</w:t>
      </w:r>
    </w:p>
    <w:p>
      <w:pPr>
        <w:spacing w:before="75" w:after="0"/>
      </w:pPr>
      <w:r>
        <w:rPr/>
        <w:t xml:space="preserve">二、国产risc-v cpu支持pqc指令集进展</w:t>
      </w:r>
    </w:p>
    <w:p>
      <w:pPr>
        <w:spacing w:before="75" w:after="0"/>
      </w:pPr>
      <w:r>
        <w:rPr/>
        <w:t xml:space="preserve">三、安全操作系统(如麒麟、统信)pqc适配计划</w:t>
      </w:r>
    </w:p>
    <w:p>
      <w:pPr>
        <w:spacing w:before="75" w:after="0"/>
      </w:pPr>
      <w:r>
        <w:rPr/>
        <w:t xml:space="preserve">第三节 产能与测试验证瓶颈</w:t>
      </w:r>
    </w:p>
    <w:p>
      <w:pPr>
        <w:spacing w:before="75" w:after="0"/>
      </w:pPr>
      <w:r>
        <w:rPr/>
        <w:t xml:space="preserve">一、头部企业2026-2031年扩产计划</w:t>
      </w:r>
    </w:p>
    <w:p>
      <w:pPr>
        <w:spacing w:before="75" w:after="0"/>
      </w:pPr>
      <w:r>
        <w:rPr/>
        <w:t xml:space="preserve">二、国家级pqc测试平台建设滞后问题</w:t>
      </w:r>
    </w:p>
    <w:p>
      <w:pPr>
        <w:spacing w:before="75" w:after="0"/>
      </w:pPr>
      <w:r>
        <w:rPr/>
        <w:t xml:space="preserve">三、算法实现一致性与互操作性认证缺失</w:t>
      </w:r>
    </w:p>
    <w:p>
      <w:pPr>
        <w:spacing w:before="75" w:after="0"/>
      </w:pPr>
      <w:r>
        <w:rPr>
          <w:b w:val="1"/>
          <w:bCs w:val="1"/>
        </w:rPr>
        <w:t xml:space="preserve">第十三章 2026-2031年政策监管与合规环境展望</w:t>
      </w:r>
    </w:p>
    <w:p>
      <w:pPr>
        <w:spacing w:before="75" w:after="0"/>
      </w:pPr>
      <w:r>
        <w:rPr/>
        <w:t xml:space="preserve">第一节 国家密码管理局政策动向</w:t>
      </w:r>
    </w:p>
    <w:p>
      <w:pPr>
        <w:spacing w:before="75" w:after="0"/>
      </w:pPr>
      <w:r>
        <w:rPr/>
        <w:t xml:space="preserve">一、pqc产品纳入商用密码认证目录时间预测</w:t>
      </w:r>
    </w:p>
    <w:p>
      <w:pPr>
        <w:spacing w:before="75" w:after="0"/>
      </w:pPr>
      <w:r>
        <w:rPr/>
        <w:t xml:space="preserve">二、密评2.0版本强制要求pqc评估条款</w:t>
      </w:r>
    </w:p>
    <w:p>
      <w:pPr>
        <w:spacing w:before="75" w:after="0"/>
      </w:pPr>
      <w:r>
        <w:rPr/>
        <w:t xml:space="preserve">三、关键信息基础设施pqc部署时间表</w:t>
      </w:r>
    </w:p>
    <w:p>
      <w:pPr>
        <w:spacing w:before="75" w:after="0"/>
      </w:pPr>
      <w:r>
        <w:rPr/>
        <w:t xml:space="preserve">第二节 国际合规挑战</w:t>
      </w:r>
    </w:p>
    <w:p>
      <w:pPr>
        <w:spacing w:before="75" w:after="0"/>
      </w:pPr>
      <w:r>
        <w:rPr/>
        <w:t xml:space="preserve">一、美国出口管制条例(ear)对pqc技术限制可能性</w:t>
      </w:r>
    </w:p>
    <w:p>
      <w:pPr>
        <w:spacing w:before="75" w:after="0"/>
      </w:pPr>
      <w:r>
        <w:rPr/>
        <w:t xml:space="preserve">二、欧盟网络安全认证框架(eucc)对pqc要求</w:t>
      </w:r>
    </w:p>
    <w:p>
      <w:pPr>
        <w:spacing w:before="75" w:after="0"/>
      </w:pPr>
      <w:r>
        <w:rPr/>
        <w:t xml:space="preserve">三、中国企业出海面临的本地化合规成本</w:t>
      </w:r>
    </w:p>
    <w:p>
      <w:pPr>
        <w:spacing w:before="75" w:after="0"/>
      </w:pPr>
      <w:r>
        <w:rPr/>
        <w:t xml:space="preserve">第三节 行业自律与标准体系</w:t>
      </w:r>
    </w:p>
    <w:p>
      <w:pPr>
        <w:spacing w:before="75" w:after="0"/>
      </w:pPr>
      <w:r>
        <w:rPr/>
        <w:t xml:space="preserve">一、团体标准向行业/国家标准转化路径</w:t>
      </w:r>
    </w:p>
    <w:p>
      <w:pPr>
        <w:spacing w:before="75" w:after="0"/>
      </w:pPr>
      <w:r>
        <w:rPr/>
        <w:t xml:space="preserve">二、中国自主pqc算法标准体系构建</w:t>
      </w:r>
    </w:p>
    <w:p>
      <w:pPr>
        <w:spacing w:before="75" w:after="0"/>
      </w:pPr>
      <w:r>
        <w:rPr/>
        <w:t xml:space="preserve">三、开源pqc项目知识产权治理机制</w:t>
      </w:r>
    </w:p>
    <w:p>
      <w:pPr>
        <w:spacing w:before="75" w:after="0"/>
      </w:pPr>
      <w:r>
        <w:rPr>
          <w:b w:val="1"/>
          <w:bCs w:val="1"/>
        </w:rPr>
        <w:t xml:space="preserve">第十四章 投资机会与风险预警</w:t>
      </w:r>
    </w:p>
    <w:p>
      <w:pPr>
        <w:spacing w:before="75" w:after="0"/>
      </w:pPr>
      <w:r>
        <w:rPr/>
        <w:t xml:space="preserve">第一节 高潜力细分赛道</w:t>
      </w:r>
    </w:p>
    <w:p>
      <w:pPr>
        <w:spacing w:before="75" w:after="0"/>
      </w:pPr>
      <w:r>
        <w:rPr/>
        <w:t xml:space="preserve">一、pqc专用芯片设计企业</w:t>
      </w:r>
    </w:p>
    <w:p>
      <w:pPr>
        <w:spacing w:before="75" w:after="0"/>
      </w:pPr>
      <w:r>
        <w:rPr/>
        <w:t xml:space="preserve">二、垂直行业迁移解决方案提供商</w:t>
      </w:r>
    </w:p>
    <w:p>
      <w:pPr>
        <w:spacing w:before="75" w:after="0"/>
      </w:pPr>
      <w:r>
        <w:rPr/>
        <w:t xml:space="preserve">三、pqc测试工具与渗透测试服务商</w:t>
      </w:r>
    </w:p>
    <w:p>
      <w:pPr>
        <w:spacing w:before="75" w:after="0"/>
      </w:pPr>
      <w:r>
        <w:rPr/>
        <w:t xml:space="preserve">第二节 主要风险因素</w:t>
      </w:r>
    </w:p>
    <w:p>
      <w:pPr>
        <w:spacing w:before="75" w:after="0"/>
      </w:pPr>
      <w:r>
        <w:rPr/>
        <w:t xml:space="preserve">一、nist标准变更导致技术路线重选</w:t>
      </w:r>
    </w:p>
    <w:p>
      <w:pPr>
        <w:spacing w:before="75" w:after="0"/>
      </w:pPr>
      <w:r>
        <w:rPr/>
        <w:t xml:space="preserve">二、量子计算机实用化时间不确定引发需求延迟</w:t>
      </w:r>
    </w:p>
    <w:p>
      <w:pPr>
        <w:spacing w:before="75" w:after="0"/>
      </w:pPr>
      <w:r>
        <w:rPr/>
        <w:t xml:space="preserve">三、中小企业因性能开销放弃pqc部署</w:t>
      </w:r>
    </w:p>
    <w:p>
      <w:pPr>
        <w:spacing w:before="75" w:after="0"/>
      </w:pPr>
      <w:r>
        <w:rPr/>
        <w:t xml:space="preserve">第三节 投资策略建议</w:t>
      </w:r>
    </w:p>
    <w:p>
      <w:pPr>
        <w:spacing w:before="75" w:after="0"/>
      </w:pPr>
      <w:r>
        <w:rPr/>
        <w:t xml:space="preserve">一、优先布局具备政府/军工订单能力的企业</w:t>
      </w:r>
    </w:p>
    <w:p>
      <w:pPr>
        <w:spacing w:before="75" w:after="0"/>
      </w:pPr>
      <w:r>
        <w:rPr/>
        <w:t xml:space="preserve">二、关注拥有核心算法专利与fto分析能力的标的</w:t>
      </w:r>
    </w:p>
    <w:p>
      <w:pPr>
        <w:spacing w:before="75" w:after="0"/>
      </w:pPr>
      <w:r>
        <w:rPr/>
        <w:t xml:space="preserve">三、规避无实际产品仅靠概念融资的初创公司</w:t>
      </w:r>
    </w:p>
    <w:p>
      <w:pPr>
        <w:spacing w:before="75" w:after="0"/>
      </w:pPr>
      <w:r>
        <w:rPr>
          <w:b w:val="1"/>
          <w:bCs w:val="1"/>
        </w:rPr>
        <w:t xml:space="preserve">第十五章 国际合作与“走出去”战略</w:t>
      </w:r>
    </w:p>
    <w:p>
      <w:pPr>
        <w:spacing w:before="75" w:after="0"/>
      </w:pPr>
      <w:r>
        <w:rPr/>
        <w:t xml:space="preserve">第一节 技术标准国际合作</w:t>
      </w:r>
    </w:p>
    <w:p>
      <w:pPr>
        <w:spacing w:before="75" w:after="0"/>
      </w:pPr>
      <w:r>
        <w:rPr/>
        <w:t xml:space="preserve">一、参与iso/iec jtc1 sc27、ietf等国际组织</w:t>
      </w:r>
    </w:p>
    <w:p>
      <w:pPr>
        <w:spacing w:before="75" w:after="0"/>
      </w:pPr>
      <w:r>
        <w:rPr/>
        <w:t xml:space="preserve">二、推动中国pqc算法纳入国际标准可能性</w:t>
      </w:r>
    </w:p>
    <w:p>
      <w:pPr>
        <w:spacing w:before="75" w:after="0"/>
      </w:pPr>
      <w:r>
        <w:rPr/>
        <w:t xml:space="preserve">三、中美欧三方技术对话机制建立前景</w:t>
      </w:r>
    </w:p>
    <w:p>
      <w:pPr>
        <w:spacing w:before="75" w:after="0"/>
      </w:pPr>
      <w:r>
        <w:rPr/>
        <w:t xml:space="preserve">第二节 一带一路市场拓展</w:t>
      </w:r>
    </w:p>
    <w:p>
      <w:pPr>
        <w:spacing w:before="75" w:after="0"/>
      </w:pPr>
      <w:r>
        <w:rPr/>
        <w:t xml:space="preserve">一、东南亚、中东、非洲对pqc认知与需求萌芽</w:t>
      </w:r>
    </w:p>
    <w:p>
      <w:pPr>
        <w:spacing w:before="75" w:after="0"/>
      </w:pPr>
      <w:r>
        <w:rPr/>
        <w:t xml:space="preserve">二、中国pqc产品性价比与本地化服务优势</w:t>
      </w:r>
    </w:p>
    <w:p>
      <w:pPr>
        <w:spacing w:before="75" w:after="0"/>
      </w:pPr>
      <w:r>
        <w:rPr/>
        <w:t xml:space="preserve">三、联合当地运营商提供整体安全解决方案</w:t>
      </w:r>
    </w:p>
    <w:p>
      <w:pPr>
        <w:spacing w:before="75" w:after="0"/>
      </w:pPr>
      <w:r>
        <w:rPr/>
        <w:t xml:space="preserve">第三节 应对技术脱钩策略</w:t>
      </w:r>
    </w:p>
    <w:p>
      <w:pPr>
        <w:spacing w:before="75" w:after="0"/>
      </w:pPr>
      <w:r>
        <w:rPr/>
        <w:t xml:space="preserve">一、构建自主可控pqc生态闭环</w:t>
      </w:r>
    </w:p>
    <w:p>
      <w:pPr>
        <w:spacing w:before="75" w:after="0"/>
      </w:pPr>
      <w:r>
        <w:rPr/>
        <w:t xml:space="preserve">二、加强与非美系芯片、云厂商合作</w:t>
      </w:r>
    </w:p>
    <w:p>
      <w:pPr>
        <w:spacing w:before="75" w:after="0"/>
      </w:pPr>
      <w:r>
        <w:rPr/>
        <w:t xml:space="preserve">三、发展多边技术联盟降低地缘政治风险</w:t>
      </w:r>
    </w:p>
    <w:p>
      <w:pPr>
        <w:spacing w:before="75" w:after="0"/>
      </w:pPr>
      <w:r>
        <w:rPr>
          <w:b w:val="1"/>
          <w:bCs w:val="1"/>
        </w:rPr>
        <w:t xml:space="preserve">第十六章 可持续发展与社会影响评估</w:t>
      </w:r>
    </w:p>
    <w:p>
      <w:pPr>
        <w:spacing w:before="75" w:after="0"/>
      </w:pPr>
      <w:r>
        <w:rPr/>
        <w:t xml:space="preserve">第一节 绿色计算与能效挑战</w:t>
      </w:r>
    </w:p>
    <w:p>
      <w:pPr>
        <w:spacing w:before="75" w:after="0"/>
      </w:pPr>
      <w:r>
        <w:rPr/>
        <w:t xml:space="preserve">一、pqc算法碳足迹测算(vs rsa-2048/ecc-256)</w:t>
      </w:r>
    </w:p>
    <w:p>
      <w:pPr>
        <w:spacing w:before="75" w:after="0"/>
      </w:pPr>
      <w:r>
        <w:rPr/>
        <w:t xml:space="preserve">二、数据中心pqc部署对pue影响评估</w:t>
      </w:r>
    </w:p>
    <w:p>
      <w:pPr>
        <w:spacing w:before="75" w:after="0"/>
      </w:pPr>
      <w:r>
        <w:rPr/>
        <w:t xml:space="preserve">三、低功耗pqc算法优化研究方向</w:t>
      </w:r>
    </w:p>
    <w:p>
      <w:pPr>
        <w:spacing w:before="75" w:after="0"/>
      </w:pPr>
      <w:r>
        <w:rPr/>
        <w:t xml:space="preserve">第二节 人才教育与公众认知</w:t>
      </w:r>
    </w:p>
    <w:p>
      <w:pPr>
        <w:spacing w:before="75" w:after="0"/>
      </w:pPr>
      <w:r>
        <w:rPr/>
        <w:t xml:space="preserve">一、中小学网络安全课程纳入pqc科普内容</w:t>
      </w:r>
    </w:p>
    <w:p>
      <w:pPr>
        <w:spacing w:before="75" w:after="0"/>
      </w:pPr>
      <w:r>
        <w:rPr/>
        <w:t xml:space="preserve">二、高校设立pqc微专业与实训基地</w:t>
      </w:r>
    </w:p>
    <w:p>
      <w:pPr>
        <w:spacing w:before="75" w:after="0"/>
      </w:pPr>
      <w:r>
        <w:rPr/>
        <w:t xml:space="preserve">三、cisp-pqc等职业认证体系完善</w:t>
      </w:r>
    </w:p>
    <w:p>
      <w:pPr>
        <w:spacing w:before="75" w:after="0"/>
      </w:pPr>
      <w:r>
        <w:rPr/>
        <w:t xml:space="preserve">第三节 伦理与全球治理</w:t>
      </w:r>
    </w:p>
    <w:p>
      <w:pPr>
        <w:spacing w:before="75" w:after="0"/>
      </w:pPr>
      <w:r>
        <w:rPr/>
        <w:t xml:space="preserve">一、pqc是否加剧发展中国家数字鸿沟</w:t>
      </w:r>
    </w:p>
    <w:p>
      <w:pPr>
        <w:spacing w:before="75" w:after="0"/>
      </w:pPr>
      <w:r>
        <w:rPr/>
        <w:t xml:space="preserve">二、政府大规模监控能力与公民隐私平衡</w:t>
      </w:r>
    </w:p>
    <w:p>
      <w:pPr>
        <w:spacing w:before="75" w:after="0"/>
      </w:pPr>
      <w:r>
        <w:rPr/>
        <w:t xml:space="preserve">三、全球密码治理话语权争夺与中国角色</w:t>
      </w:r>
    </w:p>
    <w:p>
      <w:pPr>
        <w:spacing w:before="75" w:after="0"/>
      </w:pPr>
      <w:r>
        <w:rPr>
          <w:b w:val="1"/>
          <w:bCs w:val="1"/>
        </w:rPr>
        <w:t xml:space="preserve">图表目录</w:t>
      </w:r>
    </w:p>
    <w:p>
      <w:pPr>
        <w:spacing w:before="75" w:after="0"/>
      </w:pPr>
      <w:r>
        <w:rPr/>
        <w:t xml:space="preserve">图表：2023年全球后量子密码市场规模(亿美元)</w:t>
      </w:r>
    </w:p>
    <w:p>
      <w:pPr>
        <w:spacing w:before="75" w:after="0"/>
      </w:pPr>
      <w:r>
        <w:rPr/>
        <w:t xml:space="preserve">图表：2024年全球后量子密码区域市场份额</w:t>
      </w:r>
    </w:p>
    <w:p>
      <w:pPr>
        <w:spacing w:before="75" w:after="0"/>
      </w:pPr>
      <w:r>
        <w:rPr/>
        <w:t xml:space="preserve">图表：2025年全球后量子密码技术路线占比</w:t>
      </w:r>
    </w:p>
    <w:p>
      <w:pPr>
        <w:spacing w:before="75" w:after="0"/>
      </w:pPr>
      <w:r>
        <w:rPr/>
        <w:t xml:space="preserve">图表：2023-2025年nist pqc标准化关键节点</w:t>
      </w:r>
    </w:p>
    <w:p>
      <w:pPr>
        <w:spacing w:before="75" w:after="0"/>
      </w:pPr>
      <w:r>
        <w:rPr/>
        <w:t xml:space="preserve">图表：2023年中国后量子密码行业市场规模(亿元)</w:t>
      </w:r>
    </w:p>
    <w:p>
      <w:pPr>
        <w:spacing w:before="75" w:after="0"/>
      </w:pPr>
      <w:r>
        <w:rPr/>
        <w:t xml:space="preserve">图表：2024年中国后量子密码市场增长率</w:t>
      </w:r>
    </w:p>
    <w:p>
      <w:pPr>
        <w:spacing w:before="75" w:after="0"/>
      </w:pPr>
      <w:r>
        <w:rPr/>
        <w:t xml:space="preserve">图表：2025年中国后量子密码下游应用结构</w:t>
      </w:r>
    </w:p>
    <w:p>
      <w:pPr>
        <w:spacing w:before="75" w:after="0"/>
      </w:pPr>
      <w:r>
        <w:rPr/>
        <w:t xml:space="preserve">图表：2023-2025年基于格密码方案市场渗透率</w:t>
      </w:r>
    </w:p>
    <w:p>
      <w:pPr>
        <w:spacing w:before="75" w:after="0"/>
      </w:pPr>
      <w:r>
        <w:rPr/>
        <w:t xml:space="preserve">图表：2024年长三角后量子密码企业数量分布</w:t>
      </w:r>
    </w:p>
    <w:p>
      <w:pPr>
        <w:spacing w:before="75" w:after="0"/>
      </w:pPr>
      <w:r>
        <w:rPr/>
        <w:t xml:space="preserve">图表：2025年京津冀pqc政府采购金额</w:t>
      </w:r>
    </w:p>
    <w:p>
      <w:pPr>
        <w:spacing w:before="75" w:after="0"/>
      </w:pPr>
      <w:r>
        <w:rPr/>
        <w:t xml:space="preserve">图表：2023年全球后量子密码专利申请量top10机构</w:t>
      </w:r>
    </w:p>
    <w:p>
      <w:pPr>
        <w:spacing w:before="75" w:after="0"/>
      </w:pPr>
      <w:r>
        <w:rPr/>
        <w:t xml:space="preserve">图表：2024年中国高校pqc相关论文发表数量</w:t>
      </w:r>
    </w:p>
    <w:p>
      <w:pPr>
        <w:spacing w:before="75" w:after="0"/>
      </w:pPr>
      <w:r>
        <w:rPr/>
        <w:t xml:space="preserve">图表：2026-2031年中国后量子密码市场规模预测(亿元)</w:t>
      </w:r>
    </w:p>
    <w:p>
      <w:pPr>
        <w:spacing w:before="75" w:after="0"/>
      </w:pPr>
      <w:r>
        <w:rPr/>
        <w:t xml:space="preserve">图表：2027年金融行业pqc采购预算预测</w:t>
      </w:r>
    </w:p>
    <w:p>
      <w:pPr>
        <w:spacing w:before="75" w:after="0"/>
      </w:pPr>
      <w:r>
        <w:rPr/>
        <w:t xml:space="preserve">图表：2028年政务云pqc改造完成率预测</w:t>
      </w:r>
    </w:p>
    <w:p>
      <w:pPr>
        <w:spacing w:before="75" w:after="0"/>
      </w:pPr>
      <w:r>
        <w:rPr/>
        <w:t xml:space="preserve">图表：2029年通信行业pqc模块渗透率</w:t>
      </w:r>
    </w:p>
    <w:p>
      <w:pPr>
        <w:spacing w:before="75" w:after="0"/>
      </w:pPr>
      <w:r>
        <w:rPr/>
        <w:t xml:space="preserve">图表：2030年能源行业pqc安全投入占比</w:t>
      </w:r>
    </w:p>
    <w:p>
      <w:pPr>
        <w:spacing w:before="75" w:after="0"/>
      </w:pPr>
      <w:r>
        <w:rPr/>
        <w:t xml:space="preserve">图表：2026年pqc软件库市场占比预测</w:t>
      </w:r>
    </w:p>
    <w:p>
      <w:pPr>
        <w:spacing w:before="75" w:after="0"/>
      </w:pPr>
      <w:r>
        <w:rPr/>
        <w:t xml:space="preserve">图表：2027年pqc硬件安全模块出货量预测</w:t>
      </w:r>
    </w:p>
    <w:p>
      <w:pPr>
        <w:spacing w:before="75" w:after="0"/>
      </w:pPr>
      <w:r>
        <w:rPr/>
        <w:t xml:space="preserve">图表：2028年云pqc服务订阅用户数预测</w:t>
      </w:r>
    </w:p>
    <w:p>
      <w:pPr>
        <w:spacing w:before="75" w:after="0"/>
      </w:pPr>
      <w:r>
        <w:rPr/>
        <w:t xml:space="preserve">图表：2023-2025年pqc算法性能对比</w:t>
      </w:r>
    </w:p>
    <w:p>
      <w:pPr>
        <w:spacing w:before="75" w:after="0"/>
      </w:pPr>
      <w:r>
        <w:rPr/>
        <w:t xml:space="preserve">图表：2024年pqc在iot设备中的能耗测试数据</w:t>
      </w:r>
    </w:p>
    <w:p>
      <w:pPr>
        <w:spacing w:before="75" w:after="0"/>
      </w:pPr>
      <w:r>
        <w:rPr/>
        <w:t xml:space="preserve">图表：2025年pqc与ecc加解密速度对比</w:t>
      </w:r>
    </w:p>
    <w:p>
      <w:pPr>
        <w:spacing w:before="75" w:after="0"/>
      </w:pPr>
      <w:r>
        <w:rPr/>
        <w:t xml:space="preserve">图表：2026年pqc芯片国产化率预测</w:t>
      </w:r>
    </w:p>
    <w:p>
      <w:pPr>
        <w:spacing w:before="75" w:after="0"/>
      </w:pPr>
      <w:r>
        <w:rPr/>
        <w:t xml:space="preserve">图表：2027年密码测评机构pqc检测能力覆盖率</w:t>
      </w:r>
    </w:p>
    <w:p>
      <w:pPr>
        <w:spacing w:before="75" w:after="0"/>
      </w:pPr>
      <w:r>
        <w:rPr/>
        <w:t xml:space="preserve">图表：2028年“密评”强制包含pqc条款概率</w:t>
      </w:r>
    </w:p>
    <w:p>
      <w:pPr>
        <w:spacing w:before="75" w:after="0"/>
      </w:pPr>
      <w:r>
        <w:rPr/>
        <w:t xml:space="preserve">图表：2023年全球pqc初创企业融资总额</w:t>
      </w:r>
    </w:p>
    <w:p>
      <w:pPr>
        <w:spacing w:before="75" w:after="0"/>
      </w:pPr>
      <w:r>
        <w:rPr/>
        <w:t xml:space="preserve">图表：2024年中国pqc领域风险投资轮次分布</w:t>
      </w:r>
    </w:p>
    <w:p>
      <w:pPr>
        <w:spacing w:before="75" w:after="0"/>
      </w:pPr>
      <w:r>
        <w:rPr/>
        <w:t xml:space="preserve">图表：2025年科创板密码安全类企业平均市盈率</w:t>
      </w:r>
    </w:p>
    <w:p>
      <w:pPr>
        <w:spacing w:before="75" w:after="0"/>
      </w:pPr>
      <w:r>
        <w:rPr/>
        <w:t xml:space="preserve">图表：2026年东南亚国家pqc需求指数预测</w:t>
      </w:r>
    </w:p>
    <w:p>
      <w:pPr>
        <w:spacing w:before="75" w:after="0"/>
      </w:pPr>
      <w:r>
        <w:rPr/>
        <w:t xml:space="preserve">图表：2027年中东政府pqc采购意向调查结果</w:t>
      </w:r>
    </w:p>
    <w:p>
      <w:pPr>
        <w:spacing w:before="75" w:after="0"/>
      </w:pPr>
      <w:r>
        <w:rPr/>
        <w:t xml:space="preserve">图表：2023年pqc算法碳排放强度测算</w:t>
      </w:r>
    </w:p>
    <w:p>
      <w:pPr>
        <w:spacing w:before="75" w:after="0"/>
      </w:pPr>
      <w:r>
        <w:rPr/>
        <w:t xml:space="preserve">图表：2024年高校密码专业毕业生就业去向</w:t>
      </w:r>
    </w:p>
    <w:p>
      <w:pPr>
        <w:spacing w:before="75" w:after="0"/>
      </w:pPr>
      <w:r>
        <w:rPr/>
        <w:t xml:space="preserve">图表：2025年cisp-pqc认证持证人数</w:t>
      </w:r>
    </w:p>
    <w:p>
      <w:pPr>
        <w:spacing w:before="75" w:after="0"/>
      </w:pPr>
      <w:r>
        <w:rPr/>
        <w:t xml:space="preserve">图表：2026年pqc开源项目活跃度排名</w:t>
      </w:r>
    </w:p>
    <w:p>
      <w:pPr>
        <w:spacing w:before="75" w:after="0"/>
      </w:pPr>
      <w:r>
        <w:rPr/>
        <w:t xml:space="preserve">图表：2027年risc-v支持pqc指令集芯片出货量</w:t>
      </w:r>
    </w:p>
    <w:p>
      <w:pPr>
        <w:spacing w:before="75" w:after="0"/>
      </w:pPr>
      <w:r>
        <w:rPr/>
        <w:t xml:space="preserve">图表：2028年零信任架构中pqc集成率</w:t>
      </w:r>
    </w:p>
    <w:p>
      <w:pPr>
        <w:spacing w:before="75" w:after="0"/>
      </w:pPr>
      <w:r>
        <w:rPr/>
        <w:t xml:space="preserve">图表：2029年混合加密模式市场占比</w:t>
      </w:r>
    </w:p>
    <w:p>
      <w:pPr>
        <w:spacing w:before="75" w:after="0"/>
      </w:pPr>
      <w:r>
        <w:rPr/>
        <w:t xml:space="preserve">图表：2030年全球pqc市场cr5集中度预测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2026-2031年中国后量子密码行业深度调研及发展前景预测报告</dc:title>
  <dc:description>2026-2031年中国后量子密码行业深度调研及发展前景预测报告</dc:description>
  <dc:subject>2026-2031年中国后量子密码行业深度调研及发展前景预测报告</dc:subject>
  <cp:keywords>研究报告</cp:keywords>
  <cp:category>研究报告</cp:category>
  <cp:lastModifiedBy>北京中道泰和信息咨询有限公司</cp:lastModifiedBy>
  <dcterms:created xsi:type="dcterms:W3CDTF">2026-03-30T19:02:06+08:00</dcterms:created>
  <dcterms:modified xsi:type="dcterms:W3CDTF">2026-03-30T19:02:06+08:00</dcterms:modified>
</cp:coreProperties>
</file>

<file path=docProps/custom.xml><?xml version="1.0" encoding="utf-8"?>
<Properties xmlns="http://schemas.openxmlformats.org/officeDocument/2006/custom-properties" xmlns:vt="http://schemas.openxmlformats.org/officeDocument/2006/docPropsVTypes"/>
</file>